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E94C2" w14:textId="0C06DFFC" w:rsidR="00E22AFC" w:rsidRPr="00726B56" w:rsidRDefault="00E22AFC">
      <w:pPr>
        <w:pStyle w:val="BodyText"/>
        <w:rPr>
          <w:rFonts w:ascii="Times New Roman"/>
          <w:sz w:val="22"/>
          <w:szCs w:val="22"/>
        </w:rPr>
      </w:pPr>
      <w:bookmarkStart w:id="0" w:name="_GoBack"/>
      <w:bookmarkEnd w:id="0"/>
    </w:p>
    <w:p w14:paraId="7ECB7EF7" w14:textId="07053556" w:rsidR="00726B56" w:rsidRPr="00726B56" w:rsidRDefault="00726B56">
      <w:pPr>
        <w:pStyle w:val="BodyText"/>
        <w:rPr>
          <w:rFonts w:ascii="Times New Roman"/>
          <w:sz w:val="22"/>
          <w:szCs w:val="22"/>
        </w:rPr>
      </w:pPr>
      <w:r w:rsidRPr="00726B56">
        <w:rPr>
          <w:sz w:val="22"/>
          <w:szCs w:val="22"/>
        </w:rPr>
        <w:t>For the convenience of our students, the University of Delaware has contracted with PNC Bank to provide certain banking services. As such, PNC Bank has been authorized to use the University’s logo and certain other proprietary information in connection with this program. Any royalties generated are used to support initiatives that promote student development. PNC bank has provided the following details in support of requirement 34 CFR 668.164(f)(2)(ii)</w:t>
      </w:r>
    </w:p>
    <w:p w14:paraId="334F165F" w14:textId="7C19FB19" w:rsidR="00726B56" w:rsidRPr="00726B56" w:rsidRDefault="00726B56">
      <w:pPr>
        <w:pStyle w:val="BodyText"/>
        <w:rPr>
          <w:rFonts w:ascii="Times New Roman"/>
          <w:sz w:val="22"/>
          <w:szCs w:val="22"/>
        </w:rPr>
      </w:pPr>
    </w:p>
    <w:p w14:paraId="0BC2DDF4" w14:textId="77777777" w:rsidR="00726B56" w:rsidRPr="00726B56" w:rsidRDefault="00726B56">
      <w:pPr>
        <w:pStyle w:val="BodyText"/>
        <w:rPr>
          <w:rFonts w:ascii="Times New Roman"/>
          <w:sz w:val="22"/>
          <w:szCs w:val="22"/>
        </w:rPr>
      </w:pPr>
    </w:p>
    <w:p w14:paraId="2E0DDF39" w14:textId="77777777" w:rsidR="00E22AFC" w:rsidRPr="00726B56" w:rsidRDefault="00E22AFC">
      <w:pPr>
        <w:pStyle w:val="BodyText"/>
        <w:spacing w:before="4"/>
        <w:rPr>
          <w:rFonts w:ascii="Times New Roman"/>
          <w:sz w:val="22"/>
          <w:szCs w:val="22"/>
        </w:rPr>
      </w:pPr>
    </w:p>
    <w:p w14:paraId="65395436" w14:textId="5E85DAB9" w:rsidR="00E22AFC" w:rsidRDefault="00726B56">
      <w:pPr>
        <w:pStyle w:val="BodyText"/>
        <w:ind w:left="100"/>
        <w:rPr>
          <w:rFonts w:ascii="Times New Roman"/>
          <w:position w:val="-1"/>
          <w:sz w:val="22"/>
          <w:szCs w:val="22"/>
        </w:rPr>
      </w:pPr>
      <w:r w:rsidRPr="00726B56">
        <w:rPr>
          <w:rFonts w:ascii="Times New Roman"/>
          <w:noProof/>
          <w:position w:val="-1"/>
          <w:sz w:val="22"/>
          <w:szCs w:val="22"/>
        </w:rPr>
        <mc:AlternateContent>
          <mc:Choice Requires="wps">
            <w:drawing>
              <wp:inline distT="0" distB="0" distL="0" distR="0" wp14:anchorId="636098E5" wp14:editId="42089696">
                <wp:extent cx="5925185" cy="1293495"/>
                <wp:effectExtent l="9525" t="12065" r="18415" b="184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93495"/>
                        </a:xfrm>
                        <a:prstGeom prst="rect">
                          <a:avLst/>
                        </a:prstGeom>
                        <a:noFill/>
                        <a:ln w="190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ACCD05" w14:textId="77777777" w:rsidR="00E22AFC" w:rsidRDefault="00E22AFC">
                            <w:pPr>
                              <w:pStyle w:val="BodyText"/>
                              <w:rPr>
                                <w:rFonts w:ascii="Times New Roman"/>
                                <w:sz w:val="17"/>
                              </w:rPr>
                            </w:pPr>
                          </w:p>
                          <w:p w14:paraId="06421ECC" w14:textId="77777777" w:rsidR="00E22AFC" w:rsidRDefault="00726B56">
                            <w:pPr>
                              <w:pStyle w:val="BodyText"/>
                              <w:numPr>
                                <w:ilvl w:val="0"/>
                                <w:numId w:val="1"/>
                              </w:numPr>
                              <w:tabs>
                                <w:tab w:val="left" w:pos="1173"/>
                              </w:tabs>
                              <w:ind w:hanging="361"/>
                            </w:pPr>
                            <w:r>
                              <w:rPr>
                                <w:color w:val="231F20"/>
                              </w:rPr>
                              <w:t>Total consideration paid in the period July 1, 2020 through June 30, 2021: $135,000.00</w:t>
                            </w:r>
                            <w:r>
                              <w:rPr>
                                <w:color w:val="231F20"/>
                                <w:spacing w:val="-24"/>
                              </w:rPr>
                              <w:t xml:space="preserve"> </w:t>
                            </w:r>
                            <w:r>
                              <w:rPr>
                                <w:color w:val="231F20"/>
                              </w:rPr>
                              <w:t>+</w:t>
                            </w:r>
                          </w:p>
                          <w:p w14:paraId="31A433C1" w14:textId="77777777" w:rsidR="00E22AFC" w:rsidRDefault="00726B56">
                            <w:pPr>
                              <w:pStyle w:val="BodyText"/>
                              <w:spacing w:before="13"/>
                              <w:ind w:left="1173"/>
                            </w:pPr>
                            <w:r>
                              <w:rPr>
                                <w:color w:val="231F20"/>
                              </w:rPr>
                              <w:t>$19,588.03 (branch rent) = $154,588.03</w:t>
                            </w:r>
                          </w:p>
                          <w:p w14:paraId="03623D12" w14:textId="77777777" w:rsidR="00E22AFC" w:rsidRDefault="00726B56">
                            <w:pPr>
                              <w:pStyle w:val="BodyText"/>
                              <w:numPr>
                                <w:ilvl w:val="0"/>
                                <w:numId w:val="1"/>
                              </w:numPr>
                              <w:tabs>
                                <w:tab w:val="left" w:pos="1174"/>
                              </w:tabs>
                              <w:spacing w:before="13" w:line="252" w:lineRule="auto"/>
                              <w:ind w:left="1174" w:right="474" w:hanging="361"/>
                            </w:pPr>
                            <w:r>
                              <w:rPr>
                                <w:color w:val="231F20"/>
                              </w:rPr>
                              <w:t>Total number of customers holding student financial accounts which originated under the contract from July 1, 2019 through June 30, 2021:</w:t>
                            </w:r>
                            <w:r>
                              <w:rPr>
                                <w:color w:val="231F20"/>
                                <w:spacing w:val="41"/>
                              </w:rPr>
                              <w:t xml:space="preserve"> </w:t>
                            </w:r>
                            <w:r>
                              <w:rPr>
                                <w:color w:val="231F20"/>
                              </w:rPr>
                              <w:t>2,039</w:t>
                            </w:r>
                          </w:p>
                          <w:p w14:paraId="6ACD99BA" w14:textId="77777777" w:rsidR="00E22AFC" w:rsidRDefault="00726B56">
                            <w:pPr>
                              <w:pStyle w:val="BodyText"/>
                              <w:numPr>
                                <w:ilvl w:val="0"/>
                                <w:numId w:val="1"/>
                              </w:numPr>
                              <w:tabs>
                                <w:tab w:val="left" w:pos="1176"/>
                              </w:tabs>
                              <w:spacing w:line="256" w:lineRule="exact"/>
                              <w:ind w:left="1175" w:hanging="361"/>
                            </w:pPr>
                            <w:r>
                              <w:rPr>
                                <w:color w:val="231F20"/>
                              </w:rPr>
                              <w:t>Mean student costs: $8.83 in the year ended June 30,</w:t>
                            </w:r>
                            <w:r>
                              <w:rPr>
                                <w:color w:val="231F20"/>
                                <w:spacing w:val="-8"/>
                              </w:rPr>
                              <w:t xml:space="preserve"> </w:t>
                            </w:r>
                            <w:r>
                              <w:rPr>
                                <w:color w:val="231F20"/>
                              </w:rPr>
                              <w:t>2021</w:t>
                            </w:r>
                          </w:p>
                          <w:p w14:paraId="6C8F6BA1" w14:textId="77777777" w:rsidR="00E22AFC" w:rsidRDefault="00726B56">
                            <w:pPr>
                              <w:pStyle w:val="BodyText"/>
                              <w:numPr>
                                <w:ilvl w:val="0"/>
                                <w:numId w:val="1"/>
                              </w:numPr>
                              <w:tabs>
                                <w:tab w:val="left" w:pos="1173"/>
                              </w:tabs>
                              <w:spacing w:before="14"/>
                              <w:ind w:hanging="361"/>
                            </w:pPr>
                            <w:r>
                              <w:rPr>
                                <w:color w:val="231F20"/>
                              </w:rPr>
                              <w:t>Median student costs: $0 in the year ended June 30,</w:t>
                            </w:r>
                            <w:r>
                              <w:rPr>
                                <w:color w:val="231F20"/>
                                <w:spacing w:val="-6"/>
                              </w:rPr>
                              <w:t xml:space="preserve"> </w:t>
                            </w:r>
                            <w:r>
                              <w:rPr>
                                <w:color w:val="231F20"/>
                              </w:rPr>
                              <w:t>2021</w:t>
                            </w:r>
                          </w:p>
                        </w:txbxContent>
                      </wps:txbx>
                      <wps:bodyPr rot="0" vert="horz" wrap="square" lIns="0" tIns="0" rIns="0" bIns="0" anchor="t" anchorCtr="0" upright="1">
                        <a:noAutofit/>
                      </wps:bodyPr>
                    </wps:wsp>
                  </a:graphicData>
                </a:graphic>
              </wp:inline>
            </w:drawing>
          </mc:Choice>
          <mc:Fallback>
            <w:pict>
              <v:shapetype w14:anchorId="636098E5" id="_x0000_t202" coordsize="21600,21600" o:spt="202" path="m,l,21600r21600,l21600,xe">
                <v:stroke joinstyle="miter"/>
                <v:path gradientshapeok="t" o:connecttype="rect"/>
              </v:shapetype>
              <v:shape id="Text Box 2" o:spid="_x0000_s1026" type="#_x0000_t202" style="width:466.55pt;height:10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" filled="f" strokecolor="#231f20" strokeweight="1.5pt">
                <v:textbox inset="0,0,0,0">
                  <w:txbxContent>
                    <w:p w14:paraId="3EACCD05" w14:textId="77777777" w:rsidR="00E22AFC" w:rsidRDefault="00E22AFC">
                      <w:pPr>
                        <w:pStyle w:val="BodyText"/>
                        <w:rPr>
                          <w:rFonts w:ascii="Times New Roman"/>
                          <w:sz w:val="17"/>
                        </w:rPr>
                      </w:pPr>
                    </w:p>
                    <w:p w14:paraId="06421ECC" w14:textId="77777777" w:rsidR="00E22AFC" w:rsidRDefault="00726B56">
                      <w:pPr>
                        <w:pStyle w:val="BodyText"/>
                        <w:numPr>
                          <w:ilvl w:val="0"/>
                          <w:numId w:val="1"/>
                        </w:numPr>
                        <w:tabs>
                          <w:tab w:val="left" w:pos="1173"/>
                        </w:tabs>
                        <w:ind w:hanging="361"/>
                      </w:pPr>
                      <w:r>
                        <w:rPr>
                          <w:color w:val="231F20"/>
                        </w:rPr>
                        <w:t>Total consideration paid in the period July 1, 2020 through June 30, 2021: $135,000.00</w:t>
                      </w:r>
                      <w:r>
                        <w:rPr>
                          <w:color w:val="231F20"/>
                          <w:spacing w:val="-24"/>
                        </w:rPr>
                        <w:t xml:space="preserve"> </w:t>
                      </w:r>
                      <w:r>
                        <w:rPr>
                          <w:color w:val="231F20"/>
                        </w:rPr>
                        <w:t>+</w:t>
                      </w:r>
                    </w:p>
                    <w:p w14:paraId="31A433C1" w14:textId="77777777" w:rsidR="00E22AFC" w:rsidRDefault="00726B56">
                      <w:pPr>
                        <w:pStyle w:val="BodyText"/>
                        <w:spacing w:before="13"/>
                        <w:ind w:left="1173"/>
                      </w:pPr>
                      <w:r>
                        <w:rPr>
                          <w:color w:val="231F20"/>
                        </w:rPr>
                        <w:t>$19,588.03 (branch rent) = $154,588.03</w:t>
                      </w:r>
                    </w:p>
                    <w:p w14:paraId="03623D12" w14:textId="77777777" w:rsidR="00E22AFC" w:rsidRDefault="00726B56">
                      <w:pPr>
                        <w:pStyle w:val="BodyText"/>
                        <w:numPr>
                          <w:ilvl w:val="0"/>
                          <w:numId w:val="1"/>
                        </w:numPr>
                        <w:tabs>
                          <w:tab w:val="left" w:pos="1174"/>
                        </w:tabs>
                        <w:spacing w:before="13" w:line="252" w:lineRule="auto"/>
                        <w:ind w:left="1174" w:right="474" w:hanging="361"/>
                      </w:pPr>
                      <w:r>
                        <w:rPr>
                          <w:color w:val="231F20"/>
                        </w:rPr>
                        <w:t>Total number of customers holding student financial accounts which originated under the contract from July 1, 2019 through June 30, 2021:</w:t>
                      </w:r>
                      <w:r>
                        <w:rPr>
                          <w:color w:val="231F20"/>
                          <w:spacing w:val="41"/>
                        </w:rPr>
                        <w:t xml:space="preserve"> </w:t>
                      </w:r>
                      <w:r>
                        <w:rPr>
                          <w:color w:val="231F20"/>
                        </w:rPr>
                        <w:t>2,039</w:t>
                      </w:r>
                    </w:p>
                    <w:p w14:paraId="6ACD99BA" w14:textId="77777777" w:rsidR="00E22AFC" w:rsidRDefault="00726B56">
                      <w:pPr>
                        <w:pStyle w:val="BodyText"/>
                        <w:numPr>
                          <w:ilvl w:val="0"/>
                          <w:numId w:val="1"/>
                        </w:numPr>
                        <w:tabs>
                          <w:tab w:val="left" w:pos="1176"/>
                        </w:tabs>
                        <w:spacing w:line="256" w:lineRule="exact"/>
                        <w:ind w:left="1175" w:hanging="361"/>
                      </w:pPr>
                      <w:r>
                        <w:rPr>
                          <w:color w:val="231F20"/>
                        </w:rPr>
                        <w:t>Mean student costs: $8.83 in the year ended June 30,</w:t>
                      </w:r>
                      <w:r>
                        <w:rPr>
                          <w:color w:val="231F20"/>
                          <w:spacing w:val="-8"/>
                        </w:rPr>
                        <w:t xml:space="preserve"> </w:t>
                      </w:r>
                      <w:r>
                        <w:rPr>
                          <w:color w:val="231F20"/>
                        </w:rPr>
                        <w:t>2021</w:t>
                      </w:r>
                    </w:p>
                    <w:p w14:paraId="6C8F6BA1" w14:textId="77777777" w:rsidR="00E22AFC" w:rsidRDefault="00726B56">
                      <w:pPr>
                        <w:pStyle w:val="BodyText"/>
                        <w:numPr>
                          <w:ilvl w:val="0"/>
                          <w:numId w:val="1"/>
                        </w:numPr>
                        <w:tabs>
                          <w:tab w:val="left" w:pos="1173"/>
                        </w:tabs>
                        <w:spacing w:before="14"/>
                        <w:ind w:hanging="361"/>
                      </w:pPr>
                      <w:r>
                        <w:rPr>
                          <w:color w:val="231F20"/>
                        </w:rPr>
                        <w:t>Median student costs: $0 in the year ended June 30,</w:t>
                      </w:r>
                      <w:r>
                        <w:rPr>
                          <w:color w:val="231F20"/>
                          <w:spacing w:val="-6"/>
                        </w:rPr>
                        <w:t xml:space="preserve"> </w:t>
                      </w:r>
                      <w:r>
                        <w:rPr>
                          <w:color w:val="231F20"/>
                        </w:rPr>
                        <w:t>2021</w:t>
                      </w:r>
                    </w:p>
                  </w:txbxContent>
                </v:textbox>
                <w10:anchorlock/>
              </v:shape>
            </w:pict>
          </mc:Fallback>
        </mc:AlternateContent>
      </w:r>
    </w:p>
    <w:p w14:paraId="52B9B8BE" w14:textId="39F133C8" w:rsidR="00726B56" w:rsidRDefault="00726B56">
      <w:pPr>
        <w:pStyle w:val="BodyText"/>
        <w:ind w:left="100"/>
        <w:rPr>
          <w:rFonts w:ascii="Times New Roman"/>
          <w:position w:val="-1"/>
          <w:sz w:val="22"/>
          <w:szCs w:val="22"/>
        </w:rPr>
      </w:pPr>
    </w:p>
    <w:p w14:paraId="755C4290" w14:textId="6F729661" w:rsidR="00726B56" w:rsidRDefault="00726B56">
      <w:pPr>
        <w:pStyle w:val="BodyText"/>
        <w:ind w:left="100"/>
        <w:rPr>
          <w:rFonts w:ascii="Times New Roman"/>
          <w:position w:val="-1"/>
          <w:sz w:val="22"/>
          <w:szCs w:val="22"/>
        </w:rPr>
      </w:pPr>
    </w:p>
    <w:p w14:paraId="1A00020C" w14:textId="77777777" w:rsidR="00726B56" w:rsidRPr="00726B56" w:rsidRDefault="00726B56">
      <w:pPr>
        <w:pStyle w:val="BodyText"/>
        <w:ind w:left="100"/>
        <w:rPr>
          <w:rFonts w:ascii="Times New Roman"/>
          <w:sz w:val="22"/>
          <w:szCs w:val="22"/>
        </w:rPr>
      </w:pPr>
    </w:p>
    <w:sectPr w:rsidR="00726B56" w:rsidRPr="00726B56">
      <w:type w:val="continuous"/>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F7954"/>
    <w:multiLevelType w:val="hybridMultilevel"/>
    <w:tmpl w:val="A5543454"/>
    <w:lvl w:ilvl="0" w:tplc="DB480E2A">
      <w:start w:val="1"/>
      <w:numFmt w:val="decimal"/>
      <w:lvlText w:val="%1."/>
      <w:lvlJc w:val="left"/>
      <w:pPr>
        <w:ind w:left="1172" w:hanging="360"/>
        <w:jc w:val="left"/>
      </w:pPr>
      <w:rPr>
        <w:rFonts w:ascii="Calibri" w:eastAsia="Calibri" w:hAnsi="Calibri" w:cs="Calibri" w:hint="default"/>
        <w:color w:val="231F20"/>
        <w:spacing w:val="-2"/>
        <w:w w:val="100"/>
        <w:sz w:val="21"/>
        <w:szCs w:val="21"/>
      </w:rPr>
    </w:lvl>
    <w:lvl w:ilvl="1" w:tplc="A86E2652">
      <w:numFmt w:val="bullet"/>
      <w:lvlText w:val="•"/>
      <w:lvlJc w:val="left"/>
      <w:pPr>
        <w:ind w:left="1992" w:hanging="360"/>
      </w:pPr>
      <w:rPr>
        <w:rFonts w:hint="default"/>
      </w:rPr>
    </w:lvl>
    <w:lvl w:ilvl="2" w:tplc="7E0C04DE">
      <w:numFmt w:val="bullet"/>
      <w:lvlText w:val="•"/>
      <w:lvlJc w:val="left"/>
      <w:pPr>
        <w:ind w:left="2804" w:hanging="360"/>
      </w:pPr>
      <w:rPr>
        <w:rFonts w:hint="default"/>
      </w:rPr>
    </w:lvl>
    <w:lvl w:ilvl="3" w:tplc="25E42670">
      <w:numFmt w:val="bullet"/>
      <w:lvlText w:val="•"/>
      <w:lvlJc w:val="left"/>
      <w:pPr>
        <w:ind w:left="3616" w:hanging="360"/>
      </w:pPr>
      <w:rPr>
        <w:rFonts w:hint="default"/>
      </w:rPr>
    </w:lvl>
    <w:lvl w:ilvl="4" w:tplc="10D2C7B8">
      <w:numFmt w:val="bullet"/>
      <w:lvlText w:val="•"/>
      <w:lvlJc w:val="left"/>
      <w:pPr>
        <w:ind w:left="4428" w:hanging="360"/>
      </w:pPr>
      <w:rPr>
        <w:rFonts w:hint="default"/>
      </w:rPr>
    </w:lvl>
    <w:lvl w:ilvl="5" w:tplc="904C5312">
      <w:numFmt w:val="bullet"/>
      <w:lvlText w:val="•"/>
      <w:lvlJc w:val="left"/>
      <w:pPr>
        <w:ind w:left="5240" w:hanging="360"/>
      </w:pPr>
      <w:rPr>
        <w:rFonts w:hint="default"/>
      </w:rPr>
    </w:lvl>
    <w:lvl w:ilvl="6" w:tplc="588A11F2">
      <w:numFmt w:val="bullet"/>
      <w:lvlText w:val="•"/>
      <w:lvlJc w:val="left"/>
      <w:pPr>
        <w:ind w:left="6052" w:hanging="360"/>
      </w:pPr>
      <w:rPr>
        <w:rFonts w:hint="default"/>
      </w:rPr>
    </w:lvl>
    <w:lvl w:ilvl="7" w:tplc="BB8447E0">
      <w:numFmt w:val="bullet"/>
      <w:lvlText w:val="•"/>
      <w:lvlJc w:val="left"/>
      <w:pPr>
        <w:ind w:left="6864" w:hanging="360"/>
      </w:pPr>
      <w:rPr>
        <w:rFonts w:hint="default"/>
      </w:rPr>
    </w:lvl>
    <w:lvl w:ilvl="8" w:tplc="B3B24386">
      <w:numFmt w:val="bullet"/>
      <w:lvlText w:val="•"/>
      <w:lvlJc w:val="left"/>
      <w:pPr>
        <w:ind w:left="767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AFC"/>
    <w:rsid w:val="00611855"/>
    <w:rsid w:val="00726B56"/>
    <w:rsid w:val="00E2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656C"/>
  <w15:docId w15:val="{45AFDB23-5BE2-4100-8E6F-03F9DF0C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16084C9D61418833059361A9AE1D" ma:contentTypeVersion="10" ma:contentTypeDescription="Create a new document." ma:contentTypeScope="" ma:versionID="030bdda05aec41125ace0c3289422720">
  <xsd:schema xmlns:xsd="http://www.w3.org/2001/XMLSchema" xmlns:xs="http://www.w3.org/2001/XMLSchema" xmlns:p="http://schemas.microsoft.com/office/2006/metadata/properties" xmlns:ns3="8640d503-6bbe-4f5a-b17f-676305bacd4f" targetNamespace="http://schemas.microsoft.com/office/2006/metadata/properties" ma:root="true" ma:fieldsID="952bc6f180eeb4f525915f7a1461a06c" ns3:_="">
    <xsd:import namespace="8640d503-6bbe-4f5a-b17f-676305bacd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0d503-6bbe-4f5a-b17f-676305bac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3D822-7C1E-4F2E-AD9A-F5838D92E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0d503-6bbe-4f5a-b17f-676305bac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36FAB-5A26-411E-91FE-96E8E24AD4B5}">
  <ds:schemaRefs>
    <ds:schemaRef ds:uri="http://schemas.microsoft.com/sharepoint/v3/contenttype/forms"/>
  </ds:schemaRefs>
</ds:datastoreItem>
</file>

<file path=customXml/itemProps3.xml><?xml version="1.0" encoding="utf-8"?>
<ds:datastoreItem xmlns:ds="http://schemas.openxmlformats.org/officeDocument/2006/customXml" ds:itemID="{B4D8B2BC-B728-4FA5-A26D-52745C61D6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Microsoft Word - Delaware DOE 2021 letter.docx</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Delaware DOE 2021 letter.docx</dc:title>
  <dc:creator>PP43237</dc:creator>
  <cp:lastModifiedBy>Kimberly Gallup</cp:lastModifiedBy>
  <cp:revision>2</cp:revision>
  <dcterms:created xsi:type="dcterms:W3CDTF">2021-08-04T20:00:00Z</dcterms:created>
  <dcterms:modified xsi:type="dcterms:W3CDTF">2021-08-04T20:00:00Z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PScript5.dll Version 5.2.2</vt:lpwstr>
  </property>
  <property fmtid="{D5CDD505-2E9C-101B-9397-08002B2CF9AE}" pid="4" name="LastSaved">
    <vt:filetime>2021-08-04T00:00:00Z</vt:filetime>
  </property>
  <property fmtid="{D5CDD505-2E9C-101B-9397-08002B2CF9AE}" pid="5" name="ContentTypeId">
    <vt:lpwstr>0x01010020CD16084C9D61418833059361A9AE1D</vt:lpwstr>
  </property>
</Properties>
</file>