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34072" w14:textId="77777777" w:rsidR="004E04FD" w:rsidRPr="00991DC8" w:rsidRDefault="00AE2200" w:rsidP="00AE2200">
      <w:pPr>
        <w:jc w:val="center"/>
        <w:rPr>
          <w:b/>
        </w:rPr>
      </w:pPr>
      <w:r w:rsidRPr="00991DC8">
        <w:rPr>
          <w:b/>
        </w:rPr>
        <w:t>HDFS470: FAMILIES AND CHILDREN AT RISK</w:t>
      </w:r>
    </w:p>
    <w:p w14:paraId="7A6C17B9" w14:textId="77777777" w:rsidR="00AE2200" w:rsidRPr="00991DC8" w:rsidRDefault="00AE2200" w:rsidP="00AE2200">
      <w:pPr>
        <w:jc w:val="center"/>
        <w:rPr>
          <w:b/>
        </w:rPr>
      </w:pPr>
      <w:r w:rsidRPr="00991DC8">
        <w:rPr>
          <w:b/>
        </w:rPr>
        <w:t>Department of Human Development and Family Sciences</w:t>
      </w:r>
    </w:p>
    <w:p w14:paraId="1FD70AE6" w14:textId="0365BAB5" w:rsidR="00AE2200" w:rsidRPr="00991DC8" w:rsidRDefault="00131DDE" w:rsidP="00AE2200">
      <w:pPr>
        <w:jc w:val="center"/>
        <w:rPr>
          <w:b/>
        </w:rPr>
      </w:pPr>
      <w:r>
        <w:rPr>
          <w:b/>
        </w:rPr>
        <w:t>Fall 2018</w:t>
      </w:r>
    </w:p>
    <w:p w14:paraId="17C9D952" w14:textId="77777777" w:rsidR="00AE2200" w:rsidRPr="007944ED" w:rsidRDefault="00AE2200" w:rsidP="00AE2200">
      <w:pPr>
        <w:jc w:val="center"/>
      </w:pPr>
    </w:p>
    <w:p w14:paraId="35A2E85F" w14:textId="6A5B9945" w:rsidR="00AE2200" w:rsidRPr="007944ED" w:rsidRDefault="00AE2200" w:rsidP="00AE2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7944ED">
        <w:rPr>
          <w:rFonts w:cs="Arial"/>
        </w:rPr>
        <w:t xml:space="preserve">Professor:  Rob Palkovitz, Ph.D. </w:t>
      </w:r>
      <w:r w:rsidRPr="007944ED">
        <w:rPr>
          <w:rFonts w:cs="Arial"/>
        </w:rPr>
        <w:tab/>
      </w:r>
      <w:r w:rsidRPr="007944ED">
        <w:rPr>
          <w:rFonts w:cs="Arial"/>
        </w:rPr>
        <w:tab/>
      </w:r>
      <w:r w:rsidRPr="007944ED">
        <w:rPr>
          <w:rFonts w:cs="Arial"/>
        </w:rPr>
        <w:tab/>
        <w:t xml:space="preserve">Teaching Assistant: </w:t>
      </w:r>
      <w:r w:rsidR="00131DDE">
        <w:rPr>
          <w:rFonts w:cs="Arial"/>
        </w:rPr>
        <w:t>Nadisha Downs</w:t>
      </w:r>
    </w:p>
    <w:p w14:paraId="45B94639" w14:textId="77777777" w:rsidR="00AE2200" w:rsidRPr="007944ED" w:rsidRDefault="00AE2200" w:rsidP="00AE2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7944ED">
        <w:rPr>
          <w:rFonts w:cs="Arial"/>
        </w:rPr>
        <w:t>Office:  112 Alison Hall</w:t>
      </w:r>
      <w:r w:rsidRPr="007944ED">
        <w:rPr>
          <w:rFonts w:cs="Arial"/>
        </w:rPr>
        <w:tab/>
      </w:r>
      <w:r w:rsidRPr="007944ED">
        <w:rPr>
          <w:rFonts w:cs="Arial"/>
        </w:rPr>
        <w:tab/>
      </w:r>
      <w:r w:rsidRPr="007944ED">
        <w:rPr>
          <w:rFonts w:cs="Arial"/>
        </w:rPr>
        <w:tab/>
      </w:r>
      <w:r w:rsidRPr="007944ED">
        <w:rPr>
          <w:rFonts w:cs="Arial"/>
        </w:rPr>
        <w:tab/>
        <w:t>Office:  114 Alison Hall</w:t>
      </w:r>
    </w:p>
    <w:p w14:paraId="6FC7DE02" w14:textId="7ACCD18A" w:rsidR="00AE2200" w:rsidRPr="007944ED" w:rsidRDefault="00AE2200" w:rsidP="00AE2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cs="Arial"/>
        </w:rPr>
      </w:pPr>
      <w:r w:rsidRPr="007944ED">
        <w:rPr>
          <w:rFonts w:cs="Arial"/>
        </w:rPr>
        <w:t>Office Hours: Thursday 11:30-1:30</w:t>
      </w:r>
      <w:r w:rsidRPr="007944ED">
        <w:rPr>
          <w:rFonts w:cs="Arial"/>
        </w:rPr>
        <w:tab/>
      </w:r>
      <w:r w:rsidRPr="007944ED">
        <w:rPr>
          <w:rFonts w:cs="Arial"/>
        </w:rPr>
        <w:tab/>
      </w:r>
      <w:r w:rsidRPr="007944ED">
        <w:rPr>
          <w:rFonts w:cs="Arial"/>
        </w:rPr>
        <w:tab/>
        <w:t xml:space="preserve">Office Hours: </w:t>
      </w:r>
      <w:r w:rsidR="00E50666">
        <w:rPr>
          <w:rFonts w:cs="Arial"/>
        </w:rPr>
        <w:t>Tuesday 2-4 &amp;</w:t>
      </w:r>
    </w:p>
    <w:p w14:paraId="619CE2BE" w14:textId="1E8F9CB0" w:rsidR="00AE2200" w:rsidRPr="007944ED" w:rsidRDefault="00AE2200" w:rsidP="00AE2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cs="Arial"/>
        </w:rPr>
      </w:pPr>
      <w:r w:rsidRPr="007944ED">
        <w:rPr>
          <w:rFonts w:cs="Arial"/>
        </w:rPr>
        <w:t>&amp; Friday 9am- noon</w:t>
      </w:r>
      <w:r w:rsidRPr="007944ED">
        <w:rPr>
          <w:rFonts w:cs="Arial"/>
        </w:rPr>
        <w:tab/>
      </w:r>
      <w:r w:rsidRPr="007944ED">
        <w:rPr>
          <w:rFonts w:cs="Arial"/>
        </w:rPr>
        <w:tab/>
      </w:r>
      <w:r w:rsidRPr="007944ED">
        <w:rPr>
          <w:rFonts w:cs="Arial"/>
        </w:rPr>
        <w:tab/>
      </w:r>
      <w:r w:rsidRPr="007944ED">
        <w:rPr>
          <w:rFonts w:cs="Arial"/>
        </w:rPr>
        <w:tab/>
      </w:r>
      <w:r w:rsidRPr="007944ED">
        <w:rPr>
          <w:rFonts w:cs="Arial"/>
        </w:rPr>
        <w:tab/>
      </w:r>
      <w:r w:rsidR="00E50666">
        <w:rPr>
          <w:rFonts w:cs="Arial"/>
        </w:rPr>
        <w:t>Wednesday 12-3</w:t>
      </w:r>
    </w:p>
    <w:p w14:paraId="5AB38224" w14:textId="77777777" w:rsidR="00AE2200" w:rsidRPr="007944ED" w:rsidRDefault="00AE2200" w:rsidP="00AE2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cs="Arial"/>
        </w:rPr>
      </w:pPr>
      <w:r w:rsidRPr="007944ED">
        <w:rPr>
          <w:rFonts w:cs="Arial"/>
        </w:rPr>
        <w:t xml:space="preserve">Additional hours by appointment </w:t>
      </w:r>
      <w:r w:rsidRPr="007944ED">
        <w:rPr>
          <w:rFonts w:cs="Arial"/>
        </w:rPr>
        <w:tab/>
      </w:r>
      <w:r w:rsidRPr="007944ED">
        <w:rPr>
          <w:rFonts w:cs="Arial"/>
        </w:rPr>
        <w:tab/>
      </w:r>
      <w:r w:rsidRPr="007944ED">
        <w:rPr>
          <w:rFonts w:cs="Arial"/>
        </w:rPr>
        <w:tab/>
        <w:t>Additional hours by appointment</w:t>
      </w:r>
      <w:r w:rsidRPr="007944ED">
        <w:rPr>
          <w:rFonts w:cs="Arial"/>
        </w:rPr>
        <w:tab/>
      </w:r>
    </w:p>
    <w:p w14:paraId="3394873B" w14:textId="067AC1AA" w:rsidR="00AE2200" w:rsidRPr="007944ED" w:rsidRDefault="00AE2200" w:rsidP="00AE2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7944ED">
        <w:rPr>
          <w:rFonts w:cs="Arial"/>
        </w:rPr>
        <w:t>Phone:  302-831-8559</w:t>
      </w:r>
      <w:r w:rsidRPr="007944ED">
        <w:rPr>
          <w:rFonts w:cs="Arial"/>
        </w:rPr>
        <w:tab/>
      </w:r>
      <w:r w:rsidRPr="007944ED">
        <w:rPr>
          <w:rFonts w:cs="Arial"/>
        </w:rPr>
        <w:tab/>
      </w:r>
      <w:r w:rsidRPr="007944ED">
        <w:rPr>
          <w:rFonts w:cs="Arial"/>
        </w:rPr>
        <w:tab/>
      </w:r>
      <w:r w:rsidRPr="007944ED">
        <w:rPr>
          <w:rFonts w:cs="Arial"/>
        </w:rPr>
        <w:tab/>
      </w:r>
      <w:r w:rsidRPr="007944ED">
        <w:rPr>
          <w:rFonts w:cs="Arial"/>
        </w:rPr>
        <w:tab/>
      </w:r>
    </w:p>
    <w:p w14:paraId="6414A857" w14:textId="468A5460" w:rsidR="00AE2200" w:rsidRPr="007944ED" w:rsidRDefault="00D61E83" w:rsidP="00AE2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hyperlink r:id="rId5" w:history="1">
        <w:r w:rsidR="00AE2200" w:rsidRPr="007944ED">
          <w:rPr>
            <w:rStyle w:val="Hyperlink"/>
            <w:rFonts w:cs="Arial"/>
          </w:rPr>
          <w:t>Robp@UDEL.EDU</w:t>
        </w:r>
      </w:hyperlink>
      <w:r w:rsidR="00AE2200" w:rsidRPr="007944ED">
        <w:rPr>
          <w:rFonts w:cs="Arial"/>
        </w:rPr>
        <w:tab/>
      </w:r>
      <w:r w:rsidR="00AE2200" w:rsidRPr="007944ED">
        <w:rPr>
          <w:rFonts w:cs="Arial"/>
        </w:rPr>
        <w:tab/>
      </w:r>
      <w:r w:rsidR="00AE2200" w:rsidRPr="007944ED">
        <w:rPr>
          <w:rFonts w:cs="Arial"/>
        </w:rPr>
        <w:tab/>
      </w:r>
      <w:r w:rsidR="00AE2200" w:rsidRPr="007944ED">
        <w:rPr>
          <w:rFonts w:cs="Arial"/>
        </w:rPr>
        <w:tab/>
      </w:r>
      <w:r w:rsidR="00AE2200" w:rsidRPr="007944ED">
        <w:rPr>
          <w:rFonts w:cs="Arial"/>
        </w:rPr>
        <w:tab/>
      </w:r>
      <w:r w:rsidR="00131DDE">
        <w:rPr>
          <w:rStyle w:val="Hyperlink"/>
          <w:rFonts w:cs="Arial"/>
        </w:rPr>
        <w:t>ndowns@udel.edu</w:t>
      </w:r>
    </w:p>
    <w:p w14:paraId="078AFD82" w14:textId="77777777" w:rsidR="00AE2200" w:rsidRPr="007944ED" w:rsidRDefault="00AE2200" w:rsidP="00AE2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A2C06EA" w14:textId="77777777" w:rsidR="00AE2200" w:rsidRPr="007944ED" w:rsidRDefault="00AE2200" w:rsidP="00AE2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7944ED">
        <w:rPr>
          <w:rFonts w:cs="Arial"/>
        </w:rPr>
        <w:tab/>
      </w:r>
      <w:r w:rsidRPr="007944ED">
        <w:rPr>
          <w:rFonts w:cs="Arial"/>
        </w:rPr>
        <w:tab/>
      </w:r>
      <w:r w:rsidRPr="007944ED">
        <w:rPr>
          <w:rFonts w:cs="Arial"/>
        </w:rPr>
        <w:tab/>
        <w:t xml:space="preserve">            </w:t>
      </w:r>
    </w:p>
    <w:p w14:paraId="06124309" w14:textId="77777777" w:rsidR="007944ED" w:rsidRPr="007944ED" w:rsidRDefault="00AE2200" w:rsidP="007944ED">
      <w:pPr>
        <w:rPr>
          <w:rFonts w:cs="Arial"/>
          <w:b/>
          <w:bCs/>
          <w:u w:val="single"/>
        </w:rPr>
      </w:pPr>
      <w:r w:rsidRPr="007944ED">
        <w:rPr>
          <w:rFonts w:cs="Arial"/>
          <w:b/>
          <w:bCs/>
          <w:u w:val="single"/>
        </w:rPr>
        <w:t xml:space="preserve">COURSE DESCRIPTION:  </w:t>
      </w:r>
    </w:p>
    <w:p w14:paraId="05A265D9" w14:textId="77777777" w:rsidR="007944ED" w:rsidRPr="007944ED" w:rsidRDefault="007944ED" w:rsidP="007944ED">
      <w:pPr>
        <w:rPr>
          <w:rFonts w:eastAsia="Times New Roman" w:cs="Times New Roman"/>
        </w:rPr>
      </w:pPr>
      <w:r w:rsidRPr="007944ED">
        <w:rPr>
          <w:rFonts w:eastAsia="Times New Roman" w:cs="Times New Roman"/>
        </w:rPr>
        <w:t>Study of social-emotional considerations of disabilities and risk factors upon development of children and families. Theory, research, and practices discussed with emphasis on family-professional collaboration, empowerment, family-focused practice, and cultural sensitivity.</w:t>
      </w:r>
      <w:r w:rsidRPr="007944ED">
        <w:rPr>
          <w:rFonts w:eastAsia="Times New Roman" w:cs="Times New Roman"/>
        </w:rPr>
        <w:br/>
        <w:t>PREREQ:HDFS201 or HDFS220 or HDFS221 or PSYC325.</w:t>
      </w:r>
    </w:p>
    <w:p w14:paraId="4229E470" w14:textId="77777777" w:rsidR="007944ED" w:rsidRPr="007944ED" w:rsidRDefault="007944ED" w:rsidP="007944ED">
      <w:pPr>
        <w:rPr>
          <w:rFonts w:eastAsia="Times New Roman" w:cs="Times New Roman"/>
        </w:rPr>
      </w:pPr>
    </w:p>
    <w:p w14:paraId="5C2D75C7" w14:textId="189577A3" w:rsidR="007944ED" w:rsidRPr="007944ED" w:rsidRDefault="007944ED" w:rsidP="007944ED">
      <w:pPr>
        <w:rPr>
          <w:rFonts w:eastAsia="Times New Roman" w:cs="Times New Roman"/>
        </w:rPr>
      </w:pPr>
      <w:r w:rsidRPr="007944ED">
        <w:rPr>
          <w:rFonts w:eastAsia="Times New Roman" w:cs="Times New Roman"/>
        </w:rPr>
        <w:t xml:space="preserve">This course provides participants with background and basic skills to assist vulnerable families and their young children.  Particular emphasis is placed on understanding diverse families and developing culturally sensitive partnerships with parents.  The course emphasizes the professional development of participants for addressing the needs of families and children at risk.  The </w:t>
      </w:r>
      <w:r w:rsidR="00CF7D42">
        <w:rPr>
          <w:rFonts w:eastAsia="Times New Roman" w:cs="Times New Roman"/>
        </w:rPr>
        <w:t xml:space="preserve">systemically interacting </w:t>
      </w:r>
      <w:r w:rsidRPr="007944ED">
        <w:rPr>
          <w:rFonts w:eastAsia="Times New Roman" w:cs="Times New Roman"/>
        </w:rPr>
        <w:t xml:space="preserve">role of cultural, family, individual, community and circumstantial characteristics are explored as they influence the developmental strengths and challenges faced by families and their children.  </w:t>
      </w:r>
    </w:p>
    <w:p w14:paraId="570C2C02" w14:textId="77777777" w:rsidR="007944ED" w:rsidRPr="007944ED" w:rsidRDefault="007944ED" w:rsidP="007944ED">
      <w:pPr>
        <w:rPr>
          <w:rFonts w:eastAsia="Times New Roman" w:cs="Times New Roman"/>
        </w:rPr>
      </w:pPr>
    </w:p>
    <w:p w14:paraId="090124F8" w14:textId="77777777" w:rsidR="007944ED" w:rsidRPr="007944ED" w:rsidRDefault="007944ED" w:rsidP="007944ED">
      <w:pPr>
        <w:rPr>
          <w:rFonts w:eastAsia="Times New Roman" w:cs="Times New Roman"/>
          <w:b/>
          <w:u w:val="single"/>
        </w:rPr>
      </w:pPr>
      <w:r w:rsidRPr="007944ED">
        <w:rPr>
          <w:rFonts w:eastAsia="Times New Roman" w:cs="Times New Roman"/>
          <w:b/>
          <w:u w:val="single"/>
        </w:rPr>
        <w:t>Course Objectives:</w:t>
      </w:r>
    </w:p>
    <w:p w14:paraId="0BF3E236" w14:textId="77777777" w:rsidR="00AE2200" w:rsidRDefault="005F5013" w:rsidP="00AE2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rPr>
      </w:pPr>
      <w:r>
        <w:rPr>
          <w:rFonts w:cs="Arial"/>
          <w:bCs/>
        </w:rPr>
        <w:t xml:space="preserve">By the completion of </w:t>
      </w:r>
      <w:r w:rsidR="002E4C3C">
        <w:rPr>
          <w:rFonts w:cs="Arial"/>
          <w:bCs/>
        </w:rPr>
        <w:t>this course, participants</w:t>
      </w:r>
      <w:r w:rsidR="0078735F">
        <w:rPr>
          <w:rFonts w:cs="Arial"/>
          <w:bCs/>
        </w:rPr>
        <w:t xml:space="preserve"> should be able to:</w:t>
      </w:r>
    </w:p>
    <w:p w14:paraId="2639FA39" w14:textId="1580B50E" w:rsidR="0078735F" w:rsidRDefault="002E4C3C" w:rsidP="002E4C3C">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rPr>
      </w:pPr>
      <w:r>
        <w:rPr>
          <w:rFonts w:cs="Arial"/>
          <w:bCs/>
        </w:rPr>
        <w:t>Identify specific strategies that they can employ to facilitate family functioning and development, with a particular emphasis on identifying and nurturing</w:t>
      </w:r>
      <w:r w:rsidR="00766AEC">
        <w:rPr>
          <w:rFonts w:cs="Arial"/>
          <w:bCs/>
        </w:rPr>
        <w:t xml:space="preserve"> individual and</w:t>
      </w:r>
      <w:r>
        <w:rPr>
          <w:rFonts w:cs="Arial"/>
          <w:bCs/>
        </w:rPr>
        <w:t xml:space="preserve"> family strengths.</w:t>
      </w:r>
    </w:p>
    <w:p w14:paraId="194136EC" w14:textId="77777777" w:rsidR="002E4C3C" w:rsidRPr="002E4C3C" w:rsidRDefault="002E4C3C" w:rsidP="002E4C3C">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rPr>
      </w:pPr>
      <w:r>
        <w:rPr>
          <w:rFonts w:cs="Arial"/>
          <w:bCs/>
        </w:rPr>
        <w:t>Demonstrate basic ability to engage with families and individuals experiencing stressors across a variety of environments, including schools, social services, and community service settings.</w:t>
      </w:r>
    </w:p>
    <w:p w14:paraId="75E4C9E2" w14:textId="77777777" w:rsidR="0078735F" w:rsidRDefault="0078735F" w:rsidP="0078735F">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rPr>
      </w:pPr>
      <w:r>
        <w:rPr>
          <w:rFonts w:cs="Arial"/>
          <w:bCs/>
        </w:rPr>
        <w:t xml:space="preserve">Articulate systemic factors related to family stressors, including mental and physical illness, substance abuse, violence, food insecurity, and residential </w:t>
      </w:r>
      <w:r w:rsidR="002E4C3C">
        <w:rPr>
          <w:rFonts w:cs="Arial"/>
          <w:bCs/>
        </w:rPr>
        <w:t>uncertain</w:t>
      </w:r>
      <w:r w:rsidR="00FA05BF">
        <w:rPr>
          <w:rFonts w:cs="Arial"/>
          <w:bCs/>
        </w:rPr>
        <w:t>ty.</w:t>
      </w:r>
    </w:p>
    <w:p w14:paraId="6521CE3F" w14:textId="77777777" w:rsidR="002E4C3C" w:rsidRPr="000A7F3E" w:rsidRDefault="002E4C3C" w:rsidP="000A7F3E">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rPr>
      </w:pPr>
      <w:r>
        <w:rPr>
          <w:rFonts w:cs="Arial"/>
          <w:bCs/>
        </w:rPr>
        <w:t>Demonstrate an initial understanding and appreciation of the lives of families and children who experience socio-economic challenges, and the often related issues of discrimination, marginalization, oppression and social justice.</w:t>
      </w:r>
      <w:r w:rsidRPr="002E4C3C">
        <w:rPr>
          <w:rFonts w:cs="Arial"/>
          <w:bCs/>
        </w:rPr>
        <w:t xml:space="preserve"> </w:t>
      </w:r>
    </w:p>
    <w:p w14:paraId="5CF23D7F" w14:textId="77777777" w:rsidR="002E4C3C" w:rsidRDefault="002E4C3C" w:rsidP="0078735F">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rPr>
      </w:pPr>
      <w:r>
        <w:rPr>
          <w:rFonts w:cs="Arial"/>
          <w:bCs/>
        </w:rPr>
        <w:t>Show basic abilities in assessing family and individual needs and facilitate the development of a service network to assist in meeting those needs.</w:t>
      </w:r>
    </w:p>
    <w:p w14:paraId="542E1F95" w14:textId="77777777" w:rsidR="002E4C3C" w:rsidRDefault="002E4C3C" w:rsidP="0078735F">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rPr>
      </w:pPr>
      <w:r>
        <w:rPr>
          <w:rFonts w:cs="Arial"/>
          <w:bCs/>
        </w:rPr>
        <w:t xml:space="preserve">Understand the basic ethical and legal issues in working with families and children. </w:t>
      </w:r>
    </w:p>
    <w:p w14:paraId="087E66EE" w14:textId="77777777" w:rsidR="002E4C3C" w:rsidRDefault="002E4C3C" w:rsidP="0078735F">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rPr>
      </w:pPr>
      <w:r>
        <w:rPr>
          <w:rFonts w:cs="Arial"/>
          <w:bCs/>
        </w:rPr>
        <w:lastRenderedPageBreak/>
        <w:t xml:space="preserve">Demonstrate basic skills in working with diverse parents and children who may share both similar and different values and life aspirations than you have, and/or who make different life choices than you anticipate making in your life.  </w:t>
      </w:r>
    </w:p>
    <w:p w14:paraId="743F7D18" w14:textId="77777777" w:rsidR="002E4C3C" w:rsidRDefault="002E4C3C" w:rsidP="0078735F">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rPr>
      </w:pPr>
      <w:r>
        <w:rPr>
          <w:rFonts w:cs="Arial"/>
          <w:bCs/>
        </w:rPr>
        <w:t xml:space="preserve">Have basic skills necessary to work within a variety of individual, familial, cultural, socio-economic, and institutional contexts. </w:t>
      </w:r>
    </w:p>
    <w:p w14:paraId="42AEEA3E" w14:textId="77777777" w:rsidR="00AE2200" w:rsidRDefault="00AE2200" w:rsidP="00AE2200">
      <w:pPr>
        <w:rPr>
          <w:b/>
          <w:u w:val="single"/>
        </w:rPr>
      </w:pPr>
    </w:p>
    <w:p w14:paraId="4B5D3559" w14:textId="2EF8E5D0" w:rsidR="000A7F3E" w:rsidRDefault="000A7F3E" w:rsidP="00AE2200">
      <w:pPr>
        <w:rPr>
          <w:b/>
          <w:u w:val="single"/>
        </w:rPr>
      </w:pPr>
      <w:r>
        <w:rPr>
          <w:b/>
          <w:u w:val="single"/>
        </w:rPr>
        <w:t>Required Readings:</w:t>
      </w:r>
      <w:r w:rsidR="00991DC8">
        <w:rPr>
          <w:b/>
          <w:u w:val="single"/>
        </w:rPr>
        <w:t xml:space="preserve"> (TEXTBOOKS)</w:t>
      </w:r>
    </w:p>
    <w:p w14:paraId="51D47597" w14:textId="77777777" w:rsidR="000A7F3E" w:rsidRDefault="000A7F3E" w:rsidP="00AE2200">
      <w:r>
        <w:tab/>
      </w:r>
    </w:p>
    <w:p w14:paraId="5EB00F06" w14:textId="77777777" w:rsidR="000A7F3E" w:rsidRDefault="000A7F3E" w:rsidP="00881B37">
      <w:pPr>
        <w:ind w:left="720" w:hanging="720"/>
      </w:pPr>
      <w:r>
        <w:tab/>
        <w:t>Hanson, M.J, &amp; Lynch, E.W. (2013).  Understanding families: Supportive approaches to diversity, disability and risk, 2</w:t>
      </w:r>
      <w:r w:rsidRPr="000A7F3E">
        <w:rPr>
          <w:vertAlign w:val="superscript"/>
        </w:rPr>
        <w:t>nd</w:t>
      </w:r>
      <w:r>
        <w:t xml:space="preserve"> edition.  Baltimore, MD: Brookes Publishing.</w:t>
      </w:r>
    </w:p>
    <w:p w14:paraId="233D4BF9" w14:textId="77777777" w:rsidR="000A7F3E" w:rsidRDefault="000A7F3E" w:rsidP="00881B37">
      <w:pPr>
        <w:ind w:left="720" w:hanging="720"/>
      </w:pPr>
    </w:p>
    <w:p w14:paraId="01984D6D" w14:textId="77777777" w:rsidR="000A7F3E" w:rsidRDefault="000A7F3E" w:rsidP="00881B37">
      <w:pPr>
        <w:ind w:left="720" w:hanging="720"/>
      </w:pPr>
      <w:r>
        <w:tab/>
      </w:r>
      <w:proofErr w:type="spellStart"/>
      <w:r>
        <w:t>Edin</w:t>
      </w:r>
      <w:proofErr w:type="spellEnd"/>
      <w:r>
        <w:t>, K. &amp; Nelson, T.J. (2013).  Doing the best I can: Fatherhood in the inner city.  Berkeley, CA: University of California Press.</w:t>
      </w:r>
    </w:p>
    <w:p w14:paraId="4ADF0A64" w14:textId="77777777" w:rsidR="000A7F3E" w:rsidRDefault="000A7F3E" w:rsidP="00881B37">
      <w:pPr>
        <w:ind w:left="720" w:hanging="720"/>
      </w:pPr>
    </w:p>
    <w:p w14:paraId="699E7638" w14:textId="32625F98" w:rsidR="000A7F3E" w:rsidRDefault="000A7F3E" w:rsidP="00AE2200">
      <w:r>
        <w:t>Articles/readings/web resour</w:t>
      </w:r>
      <w:r w:rsidR="00881B37">
        <w:t>c</w:t>
      </w:r>
      <w:r>
        <w:t>es to be assigned over the course of the semester.</w:t>
      </w:r>
    </w:p>
    <w:p w14:paraId="7F2A2A1E" w14:textId="77777777" w:rsidR="000A7F3E" w:rsidRDefault="000A7F3E" w:rsidP="00AE2200"/>
    <w:p w14:paraId="0F9EB0B2" w14:textId="77777777" w:rsidR="000A7F3E" w:rsidRDefault="000A7F3E" w:rsidP="00AE2200">
      <w:pPr>
        <w:rPr>
          <w:b/>
          <w:u w:val="single"/>
        </w:rPr>
      </w:pPr>
      <w:r w:rsidRPr="000A7F3E">
        <w:rPr>
          <w:b/>
          <w:u w:val="single"/>
        </w:rPr>
        <w:t>Course Requirements:</w:t>
      </w:r>
    </w:p>
    <w:p w14:paraId="38966ECF" w14:textId="77777777" w:rsidR="00F22B40" w:rsidRDefault="00F22B40" w:rsidP="00AE2200">
      <w:pPr>
        <w:rPr>
          <w:b/>
          <w:u w:val="single"/>
        </w:rPr>
      </w:pPr>
    </w:p>
    <w:p w14:paraId="7E25C90C" w14:textId="7A16230B" w:rsidR="00F22B40" w:rsidRPr="00A93DF4" w:rsidRDefault="00F22B40" w:rsidP="00AE2200">
      <w:pPr>
        <w:rPr>
          <w:color w:val="FF0000"/>
        </w:rPr>
      </w:pPr>
      <w:r w:rsidRPr="00F22B40">
        <w:rPr>
          <w:b/>
        </w:rPr>
        <w:t>2 Midterm Exams</w:t>
      </w:r>
      <w:r>
        <w:t xml:space="preserve">: Exam 1 covers course content and approaches and exam 2 focuses on application of class constructs to case studies.  </w:t>
      </w:r>
      <w:r w:rsidR="0040002E">
        <w:t>(100 points each)</w:t>
      </w:r>
      <w:r w:rsidR="00A93DF4">
        <w:t xml:space="preserve"> </w:t>
      </w:r>
      <w:r w:rsidR="00A93DF4" w:rsidRPr="00A93DF4">
        <w:rPr>
          <w:color w:val="FF0000"/>
        </w:rPr>
        <w:t>Midterm 1 10/18 Midterm 2 11/15</w:t>
      </w:r>
    </w:p>
    <w:p w14:paraId="27D98E5F" w14:textId="77777777" w:rsidR="00F22B40" w:rsidRDefault="00F22B40" w:rsidP="00AE2200"/>
    <w:p w14:paraId="60379BCA" w14:textId="44A784EA" w:rsidR="00F22B40" w:rsidRDefault="00F22B40" w:rsidP="00AE2200">
      <w:r w:rsidRPr="0040002E">
        <w:rPr>
          <w:b/>
        </w:rPr>
        <w:t>New Directions Early Head Start Field Experience Paper</w:t>
      </w:r>
      <w:r w:rsidR="0040002E">
        <w:t>:</w:t>
      </w:r>
      <w:r w:rsidR="002D6164">
        <w:t xml:space="preserve"> Class participants</w:t>
      </w:r>
      <w:r>
        <w:t xml:space="preserve"> will shadow one home visit as a part of the field experience for this course.  The supporting </w:t>
      </w:r>
      <w:r w:rsidR="0040002E">
        <w:t>paper for this assignment will include two components- 1) preparation and reflection on the home visit (prior to going) and 2) reflective analysis of the experience of attending the home visit.  (100 points)</w:t>
      </w:r>
    </w:p>
    <w:p w14:paraId="275BDDFA" w14:textId="1EB3BAC1" w:rsidR="00825674" w:rsidRDefault="008F262F" w:rsidP="00AE2200">
      <w:r>
        <w:rPr>
          <w:color w:val="FF0000"/>
        </w:rPr>
        <w:t>Due Date 11-15-18</w:t>
      </w:r>
      <w:r w:rsidR="00BB4DEB" w:rsidRPr="00BB4DEB">
        <w:rPr>
          <w:color w:val="FF0000"/>
        </w:rPr>
        <w:t>, 4:45 pm</w:t>
      </w:r>
      <w:r w:rsidR="00BB4DEB">
        <w:t xml:space="preserve">, submitted inline on </w:t>
      </w:r>
      <w:r w:rsidR="00040837">
        <w:t>Canvas</w:t>
      </w:r>
      <w:r w:rsidR="00BB4DEB">
        <w:t>.</w:t>
      </w:r>
    </w:p>
    <w:p w14:paraId="3D0ED8B7" w14:textId="77777777" w:rsidR="0040002E" w:rsidRDefault="0040002E" w:rsidP="00AE2200"/>
    <w:p w14:paraId="7291419F" w14:textId="734ADE51" w:rsidR="00BB4DEB" w:rsidRDefault="0040002E" w:rsidP="00BB4DEB">
      <w:r>
        <w:rPr>
          <w:b/>
        </w:rPr>
        <w:t>Family Transitions paper</w:t>
      </w:r>
      <w:r w:rsidR="002D6164">
        <w:t>: each class participant</w:t>
      </w:r>
      <w:r>
        <w:t xml:space="preserve"> will identify a potential family transition issue for families and have the topic approved </w:t>
      </w:r>
      <w:r w:rsidR="002D6164">
        <w:t>by the instructor.  Each participant</w:t>
      </w:r>
      <w:r>
        <w:t xml:space="preserve"> will select two peer-reviewed professional </w:t>
      </w:r>
      <w:r w:rsidR="002D6164">
        <w:t>journal articles on one</w:t>
      </w:r>
      <w:r>
        <w:t xml:space="preserve"> transition topic, provide an executive summary of each article, and provide an analytic synthesis and application of the articles in a brief paper. (100 points)</w:t>
      </w:r>
      <w:r w:rsidR="00BB4DEB">
        <w:t xml:space="preserve"> </w:t>
      </w:r>
      <w:r w:rsidR="008F262F">
        <w:rPr>
          <w:color w:val="FF0000"/>
        </w:rPr>
        <w:t>Due Date 10-11</w:t>
      </w:r>
      <w:r w:rsidR="00A93DF4">
        <w:rPr>
          <w:color w:val="FF0000"/>
        </w:rPr>
        <w:t>-18</w:t>
      </w:r>
      <w:r w:rsidR="00BB4DEB" w:rsidRPr="00BB4DEB">
        <w:rPr>
          <w:color w:val="FF0000"/>
        </w:rPr>
        <w:t>, 4:45 pm</w:t>
      </w:r>
      <w:r w:rsidR="00BB4DEB">
        <w:t xml:space="preserve">, submitted inline on </w:t>
      </w:r>
      <w:r w:rsidR="00040837">
        <w:t>Canvas</w:t>
      </w:r>
      <w:r w:rsidR="00BB4DEB">
        <w:t>.</w:t>
      </w:r>
    </w:p>
    <w:p w14:paraId="16A26CA6" w14:textId="77777777" w:rsidR="0040002E" w:rsidRDefault="0040002E" w:rsidP="00AE2200"/>
    <w:p w14:paraId="51E57ACC" w14:textId="1C22B212" w:rsidR="0040002E" w:rsidRDefault="0040002E" w:rsidP="00AE2200">
      <w:r w:rsidRPr="002D6164">
        <w:rPr>
          <w:b/>
        </w:rPr>
        <w:t xml:space="preserve">Doing </w:t>
      </w:r>
      <w:r w:rsidR="002D6164" w:rsidRPr="002D6164">
        <w:rPr>
          <w:b/>
        </w:rPr>
        <w:t>the Best I can Analysis Paper</w:t>
      </w:r>
      <w:r w:rsidR="002D6164">
        <w:t>: clas</w:t>
      </w:r>
      <w:r>
        <w:t xml:space="preserve">s </w:t>
      </w:r>
      <w:r w:rsidR="002D6164">
        <w:t xml:space="preserve">participants </w:t>
      </w:r>
      <w:r>
        <w:t xml:space="preserve">are required to read the book and to apply central course constructs to analyze and frame personal reflections to frame responses and reactions to the book.  (100 points).  </w:t>
      </w:r>
      <w:r w:rsidR="008F262F">
        <w:rPr>
          <w:color w:val="FF0000"/>
        </w:rPr>
        <w:t>Due Date 10-25</w:t>
      </w:r>
      <w:r w:rsidR="00A93DF4">
        <w:rPr>
          <w:color w:val="FF0000"/>
        </w:rPr>
        <w:t>-18</w:t>
      </w:r>
      <w:r w:rsidR="00BB4DEB" w:rsidRPr="00BB4DEB">
        <w:rPr>
          <w:color w:val="FF0000"/>
        </w:rPr>
        <w:t>, 4:45 pm</w:t>
      </w:r>
      <w:r w:rsidR="00BB4DEB">
        <w:t xml:space="preserve">, submitted inline on </w:t>
      </w:r>
      <w:r w:rsidR="00040837">
        <w:t>Canvas</w:t>
      </w:r>
      <w:r w:rsidR="00BB4DEB">
        <w:t>.</w:t>
      </w:r>
    </w:p>
    <w:p w14:paraId="5C75879F" w14:textId="77777777" w:rsidR="002D6164" w:rsidRDefault="002D6164" w:rsidP="00AE2200"/>
    <w:p w14:paraId="23E0B83A" w14:textId="52D6EC9B" w:rsidR="002D6164" w:rsidRPr="00DE53BF" w:rsidRDefault="002D6164" w:rsidP="00AE2200">
      <w:pPr>
        <w:rPr>
          <w:color w:val="FF0000"/>
        </w:rPr>
      </w:pPr>
      <w:r w:rsidRPr="002D6164">
        <w:rPr>
          <w:b/>
        </w:rPr>
        <w:t>Group Presentation</w:t>
      </w:r>
      <w:r>
        <w:t xml:space="preserve">: groups of 3-4 participants will select a current issue or policy that represents a potential risk to families and their children (e.g., immigration policies, unemployment, health care policies, etc.).  All topics and groups must be approved by the instructor.  In the presentation, participants  will describe the issue/policy and elaborate </w:t>
      </w:r>
      <w:r>
        <w:lastRenderedPageBreak/>
        <w:t>potential impacts on families from a risk and resilience perspective. (100 points)</w:t>
      </w:r>
      <w:r w:rsidR="00A93DF4">
        <w:t xml:space="preserve"> </w:t>
      </w:r>
      <w:r w:rsidR="00A93DF4" w:rsidRPr="00DE53BF">
        <w:rPr>
          <w:color w:val="FF0000"/>
        </w:rPr>
        <w:t xml:space="preserve">Presentations are </w:t>
      </w:r>
      <w:r w:rsidR="00DE53BF" w:rsidRPr="00DE53BF">
        <w:rPr>
          <w:color w:val="FF0000"/>
        </w:rPr>
        <w:t>11/29 and 12/6</w:t>
      </w:r>
    </w:p>
    <w:p w14:paraId="0C33C63C" w14:textId="77777777" w:rsidR="000A7F3E" w:rsidRDefault="000A7F3E" w:rsidP="00AE2200"/>
    <w:p w14:paraId="5CDFEADF" w14:textId="77777777" w:rsidR="002D6164" w:rsidRDefault="002D6164" w:rsidP="00AE2200"/>
    <w:p w14:paraId="15425D8F" w14:textId="77777777" w:rsidR="002D6164" w:rsidRDefault="002D6164" w:rsidP="00AE2200"/>
    <w:p w14:paraId="6FB3B530" w14:textId="77777777" w:rsidR="002D6164" w:rsidRDefault="005733C3" w:rsidP="00683D1D">
      <w:pPr>
        <w:rPr>
          <w:b/>
          <w:u w:val="single"/>
        </w:rPr>
      </w:pPr>
      <w:r w:rsidRPr="005733C3">
        <w:rPr>
          <w:b/>
          <w:u w:val="single"/>
        </w:rPr>
        <w:t>Grading:</w:t>
      </w:r>
    </w:p>
    <w:p w14:paraId="7649A29D" w14:textId="5C3AF543" w:rsidR="00683D1D" w:rsidRPr="002D6164" w:rsidRDefault="00683D1D" w:rsidP="00683D1D">
      <w:pPr>
        <w:rPr>
          <w:b/>
          <w:u w:val="single"/>
        </w:rPr>
      </w:pPr>
      <w:r>
        <w:rPr>
          <w:rFonts w:cs="Arial"/>
          <w:szCs w:val="20"/>
        </w:rPr>
        <w:t>Each point earned in the course counts equally in the calculation of the final course grade</w:t>
      </w:r>
      <w:r w:rsidR="00881B37">
        <w:rPr>
          <w:rFonts w:cs="Arial"/>
          <w:szCs w:val="20"/>
        </w:rPr>
        <w:t xml:space="preserve"> (i.e., three points on an exam are the same value as three points on a paper or </w:t>
      </w:r>
      <w:r w:rsidR="002D6164">
        <w:rPr>
          <w:rFonts w:cs="Arial"/>
          <w:szCs w:val="20"/>
        </w:rPr>
        <w:t xml:space="preserve">other </w:t>
      </w:r>
      <w:r w:rsidR="00881B37">
        <w:rPr>
          <w:rFonts w:cs="Arial"/>
          <w:szCs w:val="20"/>
        </w:rPr>
        <w:t xml:space="preserve">assignment). </w:t>
      </w:r>
      <w:r>
        <w:rPr>
          <w:rFonts w:cs="Arial"/>
          <w:szCs w:val="20"/>
        </w:rPr>
        <w:t xml:space="preserve">The grading scale is applied uniformly to all students.  I understand that grades are important to you and that you expend considerable effort to achieve good grades.  Grades are not awarded for effort, however.  </w:t>
      </w:r>
      <w:r w:rsidRPr="00E65719">
        <w:rPr>
          <w:rFonts w:cs="Arial"/>
          <w:b/>
          <w:i/>
          <w:szCs w:val="20"/>
          <w:u w:val="single"/>
        </w:rPr>
        <w:t>Grades are earned based on total course points received, and are non-negotiable.</w:t>
      </w:r>
      <w:r>
        <w:rPr>
          <w:rFonts w:cs="Arial"/>
          <w:szCs w:val="20"/>
        </w:rPr>
        <w:t xml:space="preserve">   </w:t>
      </w:r>
    </w:p>
    <w:p w14:paraId="01F069DC" w14:textId="77777777" w:rsidR="00683D1D" w:rsidRDefault="00683D1D" w:rsidP="00683D1D">
      <w:pPr>
        <w:rPr>
          <w:rFonts w:cs="Arial"/>
          <w:szCs w:val="20"/>
        </w:rPr>
      </w:pPr>
    </w:p>
    <w:p w14:paraId="7F19C41B" w14:textId="77777777" w:rsidR="00683D1D" w:rsidRDefault="00683D1D" w:rsidP="00683D1D">
      <w:pPr>
        <w:rPr>
          <w:rFonts w:cs="Arial"/>
          <w:szCs w:val="20"/>
        </w:rPr>
      </w:pPr>
      <w:r>
        <w:rPr>
          <w:rFonts w:cs="Arial"/>
          <w:szCs w:val="20"/>
        </w:rPr>
        <w:t>You can track your course standing using the following scale, throughout the semester as grade cut-offs are available.</w:t>
      </w:r>
    </w:p>
    <w:p w14:paraId="4EF8DFA2" w14:textId="77777777" w:rsidR="00881B37" w:rsidRDefault="00881B37" w:rsidP="00683D1D">
      <w:pPr>
        <w:rPr>
          <w:rFonts w:cs="Arial"/>
          <w:szCs w:val="20"/>
        </w:rPr>
      </w:pPr>
    </w:p>
    <w:p w14:paraId="3CA82411" w14:textId="0F6A90AF" w:rsidR="00881B37" w:rsidRDefault="00881B37" w:rsidP="00683D1D">
      <w:pPr>
        <w:rPr>
          <w:rFonts w:cs="Arial"/>
          <w:b/>
          <w:szCs w:val="20"/>
          <w:u w:val="single"/>
        </w:rPr>
      </w:pPr>
      <w:r w:rsidRPr="00881B37">
        <w:rPr>
          <w:rFonts w:cs="Arial"/>
          <w:b/>
          <w:szCs w:val="20"/>
          <w:u w:val="single"/>
        </w:rPr>
        <w:t>Course Grading Scale:</w:t>
      </w:r>
    </w:p>
    <w:p w14:paraId="7FFF20BC" w14:textId="2E0BE3AF" w:rsidR="002D6164" w:rsidRDefault="002D6164" w:rsidP="00683D1D">
      <w:pPr>
        <w:rPr>
          <w:rFonts w:cs="Arial"/>
          <w:szCs w:val="20"/>
        </w:rPr>
      </w:pPr>
      <w:r w:rsidRPr="002D6164">
        <w:rPr>
          <w:rFonts w:cs="Arial"/>
          <w:szCs w:val="20"/>
        </w:rPr>
        <w:t xml:space="preserve">600 points are possible in the course.  </w:t>
      </w:r>
    </w:p>
    <w:p w14:paraId="192A74E9" w14:textId="77777777" w:rsidR="002D6164" w:rsidRDefault="002D6164" w:rsidP="00683D1D">
      <w:pPr>
        <w:rPr>
          <w:rFonts w:cs="Arial"/>
          <w:szCs w:val="20"/>
        </w:rPr>
      </w:pPr>
    </w:p>
    <w:tbl>
      <w:tblPr>
        <w:tblStyle w:val="TableGrid"/>
        <w:tblW w:w="0" w:type="auto"/>
        <w:tblLook w:val="04A0" w:firstRow="1" w:lastRow="0" w:firstColumn="1" w:lastColumn="0" w:noHBand="0" w:noVBand="1"/>
      </w:tblPr>
      <w:tblGrid>
        <w:gridCol w:w="895"/>
        <w:gridCol w:w="1890"/>
      </w:tblGrid>
      <w:tr w:rsidR="00D6784A" w14:paraId="4B49A11C" w14:textId="77777777" w:rsidTr="00D6784A">
        <w:tc>
          <w:tcPr>
            <w:tcW w:w="895" w:type="dxa"/>
          </w:tcPr>
          <w:p w14:paraId="3ACAEEFD" w14:textId="668CBFD6" w:rsidR="00D6784A" w:rsidRDefault="00D6784A" w:rsidP="00683D1D">
            <w:pPr>
              <w:rPr>
                <w:rFonts w:cs="Arial"/>
                <w:szCs w:val="20"/>
              </w:rPr>
            </w:pPr>
            <w:r>
              <w:rPr>
                <w:rFonts w:cs="Arial"/>
                <w:szCs w:val="20"/>
              </w:rPr>
              <w:t>Grade</w:t>
            </w:r>
          </w:p>
        </w:tc>
        <w:tc>
          <w:tcPr>
            <w:tcW w:w="1890" w:type="dxa"/>
          </w:tcPr>
          <w:p w14:paraId="163F4045" w14:textId="40A86F1A" w:rsidR="00D6784A" w:rsidRDefault="00D6784A" w:rsidP="00683D1D">
            <w:pPr>
              <w:rPr>
                <w:rFonts w:cs="Arial"/>
                <w:szCs w:val="20"/>
              </w:rPr>
            </w:pPr>
            <w:r>
              <w:rPr>
                <w:rFonts w:cs="Arial"/>
                <w:szCs w:val="20"/>
              </w:rPr>
              <w:t>Percentage</w:t>
            </w:r>
          </w:p>
        </w:tc>
      </w:tr>
      <w:tr w:rsidR="00D6784A" w14:paraId="0BB8F970" w14:textId="77777777" w:rsidTr="00D6784A">
        <w:tc>
          <w:tcPr>
            <w:tcW w:w="895" w:type="dxa"/>
          </w:tcPr>
          <w:p w14:paraId="62B69DFD" w14:textId="5988C569" w:rsidR="00D6784A" w:rsidRDefault="00D6784A" w:rsidP="00683D1D">
            <w:pPr>
              <w:rPr>
                <w:rFonts w:cs="Arial"/>
                <w:szCs w:val="20"/>
              </w:rPr>
            </w:pPr>
            <w:r>
              <w:rPr>
                <w:rFonts w:cs="Arial"/>
                <w:szCs w:val="20"/>
              </w:rPr>
              <w:t>A</w:t>
            </w:r>
          </w:p>
        </w:tc>
        <w:tc>
          <w:tcPr>
            <w:tcW w:w="1890" w:type="dxa"/>
          </w:tcPr>
          <w:p w14:paraId="12D7E58E" w14:textId="6029AB68" w:rsidR="00D6784A" w:rsidRDefault="00D6784A" w:rsidP="00683D1D">
            <w:pPr>
              <w:rPr>
                <w:rFonts w:cs="Arial"/>
                <w:szCs w:val="20"/>
              </w:rPr>
            </w:pPr>
            <w:r>
              <w:rPr>
                <w:rFonts w:cs="Arial"/>
                <w:szCs w:val="20"/>
              </w:rPr>
              <w:t>92-100</w:t>
            </w:r>
          </w:p>
        </w:tc>
      </w:tr>
      <w:tr w:rsidR="00D6784A" w14:paraId="5CD67A1F" w14:textId="77777777" w:rsidTr="00D6784A">
        <w:tc>
          <w:tcPr>
            <w:tcW w:w="895" w:type="dxa"/>
          </w:tcPr>
          <w:p w14:paraId="5245EE77" w14:textId="6F0A2482" w:rsidR="00D6784A" w:rsidRDefault="00D6784A" w:rsidP="00683D1D">
            <w:pPr>
              <w:rPr>
                <w:rFonts w:cs="Arial"/>
                <w:szCs w:val="20"/>
              </w:rPr>
            </w:pPr>
            <w:r>
              <w:rPr>
                <w:rFonts w:cs="Arial"/>
                <w:szCs w:val="20"/>
              </w:rPr>
              <w:t>A-</w:t>
            </w:r>
          </w:p>
        </w:tc>
        <w:tc>
          <w:tcPr>
            <w:tcW w:w="1890" w:type="dxa"/>
          </w:tcPr>
          <w:p w14:paraId="5FDA2E95" w14:textId="39A1AFE4" w:rsidR="00D6784A" w:rsidRDefault="00D6784A" w:rsidP="00683D1D">
            <w:pPr>
              <w:rPr>
                <w:rFonts w:cs="Arial"/>
                <w:szCs w:val="20"/>
              </w:rPr>
            </w:pPr>
            <w:r>
              <w:rPr>
                <w:rFonts w:cs="Arial"/>
                <w:szCs w:val="20"/>
              </w:rPr>
              <w:t>90-91</w:t>
            </w:r>
          </w:p>
        </w:tc>
      </w:tr>
      <w:tr w:rsidR="00D6784A" w14:paraId="6FE49A9E" w14:textId="77777777" w:rsidTr="00D6784A">
        <w:tc>
          <w:tcPr>
            <w:tcW w:w="895" w:type="dxa"/>
          </w:tcPr>
          <w:p w14:paraId="2B17CEB4" w14:textId="7327877C" w:rsidR="00D6784A" w:rsidRDefault="00D6784A" w:rsidP="00683D1D">
            <w:pPr>
              <w:rPr>
                <w:rFonts w:cs="Arial"/>
                <w:szCs w:val="20"/>
              </w:rPr>
            </w:pPr>
            <w:r>
              <w:rPr>
                <w:rFonts w:cs="Arial"/>
                <w:szCs w:val="20"/>
              </w:rPr>
              <w:t>B+</w:t>
            </w:r>
          </w:p>
        </w:tc>
        <w:tc>
          <w:tcPr>
            <w:tcW w:w="1890" w:type="dxa"/>
          </w:tcPr>
          <w:p w14:paraId="4B61A841" w14:textId="0AE58204" w:rsidR="00D6784A" w:rsidRDefault="00D6784A" w:rsidP="00683D1D">
            <w:pPr>
              <w:rPr>
                <w:rFonts w:cs="Arial"/>
                <w:szCs w:val="20"/>
              </w:rPr>
            </w:pPr>
            <w:r>
              <w:rPr>
                <w:rFonts w:cs="Arial"/>
                <w:szCs w:val="20"/>
              </w:rPr>
              <w:t>88-89</w:t>
            </w:r>
          </w:p>
        </w:tc>
      </w:tr>
      <w:tr w:rsidR="00D6784A" w14:paraId="7FBC2709" w14:textId="77777777" w:rsidTr="00D6784A">
        <w:tc>
          <w:tcPr>
            <w:tcW w:w="895" w:type="dxa"/>
          </w:tcPr>
          <w:p w14:paraId="300C8F1E" w14:textId="4E858E6A" w:rsidR="00D6784A" w:rsidRDefault="00D6784A" w:rsidP="00683D1D">
            <w:pPr>
              <w:rPr>
                <w:rFonts w:cs="Arial"/>
                <w:szCs w:val="20"/>
              </w:rPr>
            </w:pPr>
            <w:r>
              <w:rPr>
                <w:rFonts w:cs="Arial"/>
                <w:szCs w:val="20"/>
              </w:rPr>
              <w:t>B</w:t>
            </w:r>
          </w:p>
        </w:tc>
        <w:tc>
          <w:tcPr>
            <w:tcW w:w="1890" w:type="dxa"/>
          </w:tcPr>
          <w:p w14:paraId="6CDB4524" w14:textId="672956BB" w:rsidR="00D6784A" w:rsidRDefault="00D6784A" w:rsidP="00683D1D">
            <w:pPr>
              <w:rPr>
                <w:rFonts w:cs="Arial"/>
                <w:szCs w:val="20"/>
              </w:rPr>
            </w:pPr>
            <w:r>
              <w:rPr>
                <w:rFonts w:cs="Arial"/>
                <w:szCs w:val="20"/>
              </w:rPr>
              <w:t>82-87</w:t>
            </w:r>
          </w:p>
        </w:tc>
      </w:tr>
      <w:tr w:rsidR="00D6784A" w14:paraId="0AA75281" w14:textId="77777777" w:rsidTr="00D6784A">
        <w:tc>
          <w:tcPr>
            <w:tcW w:w="895" w:type="dxa"/>
          </w:tcPr>
          <w:p w14:paraId="70328C30" w14:textId="74B567C6" w:rsidR="00D6784A" w:rsidRDefault="00D6784A" w:rsidP="00683D1D">
            <w:pPr>
              <w:rPr>
                <w:rFonts w:cs="Arial"/>
                <w:szCs w:val="20"/>
              </w:rPr>
            </w:pPr>
            <w:r>
              <w:rPr>
                <w:rFonts w:cs="Arial"/>
                <w:szCs w:val="20"/>
              </w:rPr>
              <w:t>B-</w:t>
            </w:r>
          </w:p>
        </w:tc>
        <w:tc>
          <w:tcPr>
            <w:tcW w:w="1890" w:type="dxa"/>
          </w:tcPr>
          <w:p w14:paraId="5E38FA75" w14:textId="21B9922C" w:rsidR="00D6784A" w:rsidRDefault="00D6784A" w:rsidP="00683D1D">
            <w:pPr>
              <w:rPr>
                <w:rFonts w:cs="Arial"/>
                <w:szCs w:val="20"/>
              </w:rPr>
            </w:pPr>
            <w:r>
              <w:rPr>
                <w:rFonts w:cs="Arial"/>
                <w:szCs w:val="20"/>
              </w:rPr>
              <w:t>80-81</w:t>
            </w:r>
          </w:p>
        </w:tc>
      </w:tr>
      <w:tr w:rsidR="00D6784A" w14:paraId="3454B8A1" w14:textId="77777777" w:rsidTr="00D6784A">
        <w:tc>
          <w:tcPr>
            <w:tcW w:w="895" w:type="dxa"/>
          </w:tcPr>
          <w:p w14:paraId="5014D5C9" w14:textId="6E5B0D04" w:rsidR="00D6784A" w:rsidRDefault="00D6784A" w:rsidP="00683D1D">
            <w:pPr>
              <w:rPr>
                <w:rFonts w:cs="Arial"/>
                <w:szCs w:val="20"/>
              </w:rPr>
            </w:pPr>
            <w:r>
              <w:rPr>
                <w:rFonts w:cs="Arial"/>
                <w:szCs w:val="20"/>
              </w:rPr>
              <w:t>C+</w:t>
            </w:r>
          </w:p>
        </w:tc>
        <w:tc>
          <w:tcPr>
            <w:tcW w:w="1890" w:type="dxa"/>
          </w:tcPr>
          <w:p w14:paraId="4A5A5F54" w14:textId="37F13F57" w:rsidR="00D6784A" w:rsidRDefault="00D6784A" w:rsidP="00683D1D">
            <w:pPr>
              <w:rPr>
                <w:rFonts w:cs="Arial"/>
                <w:szCs w:val="20"/>
              </w:rPr>
            </w:pPr>
            <w:r>
              <w:rPr>
                <w:rFonts w:cs="Arial"/>
                <w:szCs w:val="20"/>
              </w:rPr>
              <w:t>78-79</w:t>
            </w:r>
          </w:p>
        </w:tc>
      </w:tr>
      <w:tr w:rsidR="00D6784A" w14:paraId="6FDF5A01" w14:textId="77777777" w:rsidTr="00D6784A">
        <w:tc>
          <w:tcPr>
            <w:tcW w:w="895" w:type="dxa"/>
          </w:tcPr>
          <w:p w14:paraId="313BBBB3" w14:textId="360F367C" w:rsidR="00D6784A" w:rsidRDefault="00D6784A" w:rsidP="00683D1D">
            <w:pPr>
              <w:rPr>
                <w:rFonts w:cs="Arial"/>
                <w:szCs w:val="20"/>
              </w:rPr>
            </w:pPr>
            <w:r>
              <w:rPr>
                <w:rFonts w:cs="Arial"/>
                <w:szCs w:val="20"/>
              </w:rPr>
              <w:t>C</w:t>
            </w:r>
          </w:p>
        </w:tc>
        <w:tc>
          <w:tcPr>
            <w:tcW w:w="1890" w:type="dxa"/>
          </w:tcPr>
          <w:p w14:paraId="5B9C993E" w14:textId="3D17CCAA" w:rsidR="00D6784A" w:rsidRDefault="00D6784A" w:rsidP="00683D1D">
            <w:pPr>
              <w:rPr>
                <w:rFonts w:cs="Arial"/>
                <w:szCs w:val="20"/>
              </w:rPr>
            </w:pPr>
            <w:r>
              <w:rPr>
                <w:rFonts w:cs="Arial"/>
                <w:szCs w:val="20"/>
              </w:rPr>
              <w:t>72-77</w:t>
            </w:r>
          </w:p>
        </w:tc>
      </w:tr>
      <w:tr w:rsidR="00D6784A" w14:paraId="38A9FDF9" w14:textId="77777777" w:rsidTr="00D6784A">
        <w:tc>
          <w:tcPr>
            <w:tcW w:w="895" w:type="dxa"/>
          </w:tcPr>
          <w:p w14:paraId="22BF3C9B" w14:textId="13CE7CCB" w:rsidR="00D6784A" w:rsidRDefault="00D6784A" w:rsidP="00683D1D">
            <w:pPr>
              <w:rPr>
                <w:rFonts w:cs="Arial"/>
                <w:szCs w:val="20"/>
              </w:rPr>
            </w:pPr>
            <w:r>
              <w:rPr>
                <w:rFonts w:cs="Arial"/>
                <w:szCs w:val="20"/>
              </w:rPr>
              <w:t>C-</w:t>
            </w:r>
          </w:p>
        </w:tc>
        <w:tc>
          <w:tcPr>
            <w:tcW w:w="1890" w:type="dxa"/>
          </w:tcPr>
          <w:p w14:paraId="1D84D86F" w14:textId="55136A5A" w:rsidR="00D6784A" w:rsidRDefault="00D6784A" w:rsidP="00683D1D">
            <w:pPr>
              <w:rPr>
                <w:rFonts w:cs="Arial"/>
                <w:szCs w:val="20"/>
              </w:rPr>
            </w:pPr>
            <w:r>
              <w:rPr>
                <w:rFonts w:cs="Arial"/>
                <w:szCs w:val="20"/>
              </w:rPr>
              <w:t>70-71</w:t>
            </w:r>
          </w:p>
        </w:tc>
      </w:tr>
      <w:tr w:rsidR="00D6784A" w14:paraId="43C91243" w14:textId="77777777" w:rsidTr="00D6784A">
        <w:tc>
          <w:tcPr>
            <w:tcW w:w="895" w:type="dxa"/>
          </w:tcPr>
          <w:p w14:paraId="3A507C0C" w14:textId="73963329" w:rsidR="00D6784A" w:rsidRDefault="00D6784A" w:rsidP="00683D1D">
            <w:pPr>
              <w:rPr>
                <w:rFonts w:cs="Arial"/>
                <w:szCs w:val="20"/>
              </w:rPr>
            </w:pPr>
            <w:r>
              <w:rPr>
                <w:rFonts w:cs="Arial"/>
                <w:szCs w:val="20"/>
              </w:rPr>
              <w:t>D+</w:t>
            </w:r>
          </w:p>
        </w:tc>
        <w:tc>
          <w:tcPr>
            <w:tcW w:w="1890" w:type="dxa"/>
          </w:tcPr>
          <w:p w14:paraId="3CB3B772" w14:textId="02838601" w:rsidR="00D6784A" w:rsidRDefault="00D6784A" w:rsidP="00683D1D">
            <w:pPr>
              <w:rPr>
                <w:rFonts w:cs="Arial"/>
                <w:szCs w:val="20"/>
              </w:rPr>
            </w:pPr>
            <w:r>
              <w:rPr>
                <w:rFonts w:cs="Arial"/>
                <w:szCs w:val="20"/>
              </w:rPr>
              <w:t>68-69</w:t>
            </w:r>
          </w:p>
        </w:tc>
      </w:tr>
      <w:tr w:rsidR="00D6784A" w14:paraId="052E8A6A" w14:textId="77777777" w:rsidTr="00D6784A">
        <w:tc>
          <w:tcPr>
            <w:tcW w:w="895" w:type="dxa"/>
          </w:tcPr>
          <w:p w14:paraId="038AB480" w14:textId="6580C073" w:rsidR="00D6784A" w:rsidRDefault="00D6784A" w:rsidP="00683D1D">
            <w:pPr>
              <w:rPr>
                <w:rFonts w:cs="Arial"/>
                <w:szCs w:val="20"/>
              </w:rPr>
            </w:pPr>
            <w:r>
              <w:rPr>
                <w:rFonts w:cs="Arial"/>
                <w:szCs w:val="20"/>
              </w:rPr>
              <w:t>D</w:t>
            </w:r>
          </w:p>
        </w:tc>
        <w:tc>
          <w:tcPr>
            <w:tcW w:w="1890" w:type="dxa"/>
          </w:tcPr>
          <w:p w14:paraId="7B3B4898" w14:textId="0975AD3C" w:rsidR="00D6784A" w:rsidRDefault="00D6784A" w:rsidP="00683D1D">
            <w:pPr>
              <w:rPr>
                <w:rFonts w:cs="Arial"/>
                <w:szCs w:val="20"/>
              </w:rPr>
            </w:pPr>
            <w:r>
              <w:rPr>
                <w:rFonts w:cs="Arial"/>
                <w:szCs w:val="20"/>
              </w:rPr>
              <w:t>62-67</w:t>
            </w:r>
          </w:p>
        </w:tc>
      </w:tr>
      <w:tr w:rsidR="00D6784A" w14:paraId="657DAD97" w14:textId="77777777" w:rsidTr="00D6784A">
        <w:tc>
          <w:tcPr>
            <w:tcW w:w="895" w:type="dxa"/>
          </w:tcPr>
          <w:p w14:paraId="52EFF834" w14:textId="2179606F" w:rsidR="00D6784A" w:rsidRDefault="00D6784A" w:rsidP="00683D1D">
            <w:pPr>
              <w:rPr>
                <w:rFonts w:cs="Arial"/>
                <w:szCs w:val="20"/>
              </w:rPr>
            </w:pPr>
            <w:r>
              <w:rPr>
                <w:rFonts w:cs="Arial"/>
                <w:szCs w:val="20"/>
              </w:rPr>
              <w:t>D-</w:t>
            </w:r>
          </w:p>
        </w:tc>
        <w:tc>
          <w:tcPr>
            <w:tcW w:w="1890" w:type="dxa"/>
          </w:tcPr>
          <w:p w14:paraId="5B11C199" w14:textId="4D565646" w:rsidR="00D6784A" w:rsidRDefault="00D6784A" w:rsidP="00683D1D">
            <w:pPr>
              <w:rPr>
                <w:rFonts w:cs="Arial"/>
                <w:szCs w:val="20"/>
              </w:rPr>
            </w:pPr>
            <w:r>
              <w:rPr>
                <w:rFonts w:cs="Arial"/>
                <w:szCs w:val="20"/>
              </w:rPr>
              <w:t>60-61</w:t>
            </w:r>
          </w:p>
        </w:tc>
      </w:tr>
      <w:tr w:rsidR="00D6784A" w14:paraId="3D20CDEF" w14:textId="77777777" w:rsidTr="00D6784A">
        <w:tc>
          <w:tcPr>
            <w:tcW w:w="895" w:type="dxa"/>
          </w:tcPr>
          <w:p w14:paraId="2B1D45C0" w14:textId="2E893100" w:rsidR="00D6784A" w:rsidRDefault="00D6784A" w:rsidP="00683D1D">
            <w:pPr>
              <w:rPr>
                <w:rFonts w:cs="Arial"/>
                <w:szCs w:val="20"/>
              </w:rPr>
            </w:pPr>
            <w:r>
              <w:rPr>
                <w:rFonts w:cs="Arial"/>
                <w:szCs w:val="20"/>
              </w:rPr>
              <w:t>F</w:t>
            </w:r>
          </w:p>
        </w:tc>
        <w:tc>
          <w:tcPr>
            <w:tcW w:w="1890" w:type="dxa"/>
          </w:tcPr>
          <w:p w14:paraId="1D0996E4" w14:textId="64E3DB4E" w:rsidR="00D6784A" w:rsidRDefault="00D6784A" w:rsidP="00683D1D">
            <w:pPr>
              <w:rPr>
                <w:rFonts w:cs="Arial"/>
                <w:szCs w:val="20"/>
              </w:rPr>
            </w:pPr>
            <w:r>
              <w:rPr>
                <w:rFonts w:cs="Arial"/>
                <w:szCs w:val="20"/>
              </w:rPr>
              <w:t>59 AND BELOW</w:t>
            </w:r>
          </w:p>
        </w:tc>
      </w:tr>
    </w:tbl>
    <w:p w14:paraId="53549590" w14:textId="77777777" w:rsidR="005733C3" w:rsidRDefault="005733C3" w:rsidP="00AE2200"/>
    <w:p w14:paraId="6EFAA1F5" w14:textId="77777777" w:rsidR="005733C3" w:rsidRDefault="005733C3" w:rsidP="00AE2200">
      <w:pPr>
        <w:rPr>
          <w:b/>
          <w:u w:val="single"/>
        </w:rPr>
      </w:pPr>
      <w:r w:rsidRPr="005733C3">
        <w:rPr>
          <w:b/>
          <w:u w:val="single"/>
        </w:rPr>
        <w:t>Course Policies:</w:t>
      </w:r>
    </w:p>
    <w:p w14:paraId="6F9262A7" w14:textId="77777777" w:rsidR="00D47B4B" w:rsidRDefault="00D47B4B" w:rsidP="00AE2200">
      <w:pPr>
        <w:rPr>
          <w:b/>
          <w:u w:val="single"/>
        </w:rPr>
      </w:pPr>
    </w:p>
    <w:p w14:paraId="5615C9F5" w14:textId="77777777" w:rsidR="00D47B4B" w:rsidRPr="005733C3" w:rsidRDefault="00D47B4B" w:rsidP="00AE2200">
      <w:pPr>
        <w:rPr>
          <w:b/>
          <w:u w:val="single"/>
        </w:rPr>
      </w:pPr>
      <w:r>
        <w:rPr>
          <w:b/>
          <w:u w:val="single"/>
        </w:rPr>
        <w:t xml:space="preserve">NOTE: </w:t>
      </w:r>
    </w:p>
    <w:tbl>
      <w:tblPr>
        <w:tblW w:w="10820" w:type="dxa"/>
        <w:tblCellSpacing w:w="0" w:type="dxa"/>
        <w:tblCellMar>
          <w:left w:w="0" w:type="dxa"/>
          <w:right w:w="0" w:type="dxa"/>
        </w:tblCellMar>
        <w:tblLook w:val="04A0" w:firstRow="1" w:lastRow="0" w:firstColumn="1" w:lastColumn="0" w:noHBand="0" w:noVBand="1"/>
      </w:tblPr>
      <w:tblGrid>
        <w:gridCol w:w="6"/>
        <w:gridCol w:w="10814"/>
      </w:tblGrid>
      <w:tr w:rsidR="00D47B4B" w:rsidRPr="00D47B4B" w14:paraId="66B7325B" w14:textId="77777777" w:rsidTr="00D47B4B">
        <w:trPr>
          <w:tblCellSpacing w:w="0" w:type="dxa"/>
        </w:trPr>
        <w:tc>
          <w:tcPr>
            <w:tcW w:w="0" w:type="auto"/>
            <w:hideMark/>
          </w:tcPr>
          <w:p w14:paraId="1CF1B205" w14:textId="77777777" w:rsidR="00D47B4B" w:rsidRPr="00D47B4B" w:rsidRDefault="00D47B4B" w:rsidP="00D47B4B">
            <w:pPr>
              <w:rPr>
                <w:rFonts w:cs="Times New Roman"/>
                <w:sz w:val="20"/>
                <w:szCs w:val="20"/>
              </w:rPr>
            </w:pPr>
          </w:p>
        </w:tc>
        <w:tc>
          <w:tcPr>
            <w:tcW w:w="0" w:type="auto"/>
            <w:hideMark/>
          </w:tcPr>
          <w:p w14:paraId="7F472083" w14:textId="77777777" w:rsidR="00D47B4B" w:rsidRPr="00D47B4B" w:rsidRDefault="00D47B4B" w:rsidP="00D47B4B">
            <w:pPr>
              <w:rPr>
                <w:rFonts w:eastAsia="Times New Roman" w:cs="Times New Roman"/>
              </w:rPr>
            </w:pPr>
            <w:r w:rsidRPr="00D47B4B">
              <w:rPr>
                <w:rFonts w:eastAsia="Times New Roman" w:cs="Times New Roman"/>
              </w:rPr>
              <w:t>Students in any course with a field experience or observation in an educational setting (e.g., schools, community centers) must have a valid TB test on file at Student Health Services and a valid federal criminal background clearance with fingerprinting on file at the Office of Clinical Studies by the first day of the semester/term. See the web page at http://www.ocs.udel.edu for information on when and how to complete the TB test and secure the background clearance when registering for this course.</w:t>
            </w:r>
          </w:p>
        </w:tc>
      </w:tr>
    </w:tbl>
    <w:p w14:paraId="20241C62" w14:textId="77777777" w:rsidR="005733C3" w:rsidRDefault="005733C3" w:rsidP="00AE2200"/>
    <w:p w14:paraId="24619021" w14:textId="374112A7" w:rsidR="005733C3" w:rsidRDefault="005733C3" w:rsidP="005733C3">
      <w:pPr>
        <w:widowControl w:val="0"/>
        <w:numPr>
          <w:ilvl w:val="0"/>
          <w:numId w:val="3"/>
        </w:numPr>
        <w:rPr>
          <w:snapToGrid w:val="0"/>
        </w:rPr>
      </w:pPr>
      <w:r w:rsidRPr="001B7E3E">
        <w:rPr>
          <w:snapToGrid w:val="0"/>
        </w:rPr>
        <w:t>Course attendance</w:t>
      </w:r>
      <w:r>
        <w:rPr>
          <w:snapToGrid w:val="0"/>
        </w:rPr>
        <w:t xml:space="preserve"> and participation</w:t>
      </w:r>
      <w:r w:rsidRPr="001B7E3E">
        <w:rPr>
          <w:snapToGrid w:val="0"/>
        </w:rPr>
        <w:t xml:space="preserve"> </w:t>
      </w:r>
      <w:r>
        <w:rPr>
          <w:snapToGrid w:val="0"/>
        </w:rPr>
        <w:t>–</w:t>
      </w:r>
      <w:r w:rsidRPr="001B7E3E">
        <w:rPr>
          <w:snapToGrid w:val="0"/>
        </w:rPr>
        <w:t xml:space="preserve"> </w:t>
      </w:r>
      <w:r>
        <w:rPr>
          <w:snapToGrid w:val="0"/>
        </w:rPr>
        <w:t xml:space="preserve">students are expected </w:t>
      </w:r>
      <w:r w:rsidRPr="001B7E3E">
        <w:rPr>
          <w:snapToGrid w:val="0"/>
        </w:rPr>
        <w:t xml:space="preserve">to attend all class </w:t>
      </w:r>
      <w:r w:rsidRPr="001B7E3E">
        <w:rPr>
          <w:snapToGrid w:val="0"/>
        </w:rPr>
        <w:lastRenderedPageBreak/>
        <w:t>meetings</w:t>
      </w:r>
      <w:r>
        <w:rPr>
          <w:snapToGrid w:val="0"/>
        </w:rPr>
        <w:t>, and to constructively participate in</w:t>
      </w:r>
      <w:r w:rsidR="00881B37">
        <w:rPr>
          <w:snapToGrid w:val="0"/>
        </w:rPr>
        <w:t xml:space="preserve"> (contribute to)</w:t>
      </w:r>
      <w:r>
        <w:rPr>
          <w:snapToGrid w:val="0"/>
        </w:rPr>
        <w:t xml:space="preserve"> in-class activities and read the book in its entirety</w:t>
      </w:r>
      <w:r w:rsidRPr="001B7E3E">
        <w:rPr>
          <w:snapToGrid w:val="0"/>
        </w:rPr>
        <w:t xml:space="preserve">. </w:t>
      </w:r>
      <w:r>
        <w:rPr>
          <w:snapToGrid w:val="0"/>
        </w:rPr>
        <w:t xml:space="preserve">Much of the delivery of course constructs is achieved through SEMINAR-like interactive participation between all class participants, </w:t>
      </w:r>
      <w:r w:rsidR="00881B37">
        <w:rPr>
          <w:snapToGrid w:val="0"/>
        </w:rPr>
        <w:t xml:space="preserve"> often entailing extended interactive discussions and </w:t>
      </w:r>
      <w:r>
        <w:rPr>
          <w:snapToGrid w:val="0"/>
        </w:rPr>
        <w:t xml:space="preserve">sometimes entailing group work. It is expected that you read assignments prior to class so that class time is used to expand on the written material.  </w:t>
      </w:r>
      <w:r w:rsidRPr="001B7E3E">
        <w:rPr>
          <w:snapToGrid w:val="0"/>
        </w:rPr>
        <w:t>If you do not attend, you will miss many important a</w:t>
      </w:r>
      <w:r>
        <w:rPr>
          <w:snapToGrid w:val="0"/>
        </w:rPr>
        <w:t>spects of the course, and your</w:t>
      </w:r>
      <w:r w:rsidRPr="001B7E3E">
        <w:rPr>
          <w:snapToGrid w:val="0"/>
        </w:rPr>
        <w:t xml:space="preserve"> contributions </w:t>
      </w:r>
      <w:r>
        <w:rPr>
          <w:snapToGrid w:val="0"/>
        </w:rPr>
        <w:t xml:space="preserve">to discussions and in-class activities </w:t>
      </w:r>
      <w:r w:rsidRPr="001B7E3E">
        <w:rPr>
          <w:snapToGrid w:val="0"/>
        </w:rPr>
        <w:t xml:space="preserve">will be missed as well. There is a strong relationship between "showing up" and positive, personal </w:t>
      </w:r>
      <w:r w:rsidR="00881B37">
        <w:rPr>
          <w:snapToGrid w:val="0"/>
        </w:rPr>
        <w:t>development of professional</w:t>
      </w:r>
      <w:r w:rsidRPr="001B7E3E">
        <w:rPr>
          <w:snapToGrid w:val="0"/>
        </w:rPr>
        <w:t xml:space="preserve"> skills.</w:t>
      </w:r>
      <w:r>
        <w:rPr>
          <w:snapToGrid w:val="0"/>
        </w:rPr>
        <w:t xml:space="preserve"> Much of </w:t>
      </w:r>
      <w:r w:rsidR="00881B37">
        <w:rPr>
          <w:snapToGrid w:val="0"/>
        </w:rPr>
        <w:t>the material covered in the readings</w:t>
      </w:r>
      <w:r>
        <w:rPr>
          <w:snapToGrid w:val="0"/>
        </w:rPr>
        <w:t xml:space="preserve"> provides details and examples of important constructs that cannot be covered in the class sessions due to limited time.  The class sessions are designed as integrative enrichment sessions that build on ba</w:t>
      </w:r>
      <w:r w:rsidR="00881B37">
        <w:rPr>
          <w:snapToGrid w:val="0"/>
        </w:rPr>
        <w:t>ckground established in the readings</w:t>
      </w:r>
      <w:r>
        <w:rPr>
          <w:snapToGrid w:val="0"/>
        </w:rPr>
        <w:t>.  If you miss class</w:t>
      </w:r>
      <w:r w:rsidR="00881B37">
        <w:rPr>
          <w:snapToGrid w:val="0"/>
        </w:rPr>
        <w:t xml:space="preserve">, it is your </w:t>
      </w:r>
      <w:proofErr w:type="spellStart"/>
      <w:r w:rsidR="00881B37">
        <w:rPr>
          <w:snapToGrid w:val="0"/>
        </w:rPr>
        <w:t>responsiblity</w:t>
      </w:r>
      <w:proofErr w:type="spellEnd"/>
      <w:r>
        <w:rPr>
          <w:snapToGrid w:val="0"/>
        </w:rPr>
        <w:t xml:space="preserve"> to get notes from a classmate and to review those notes.  The instructor or the TA will not supply slides or notes from missed sessions.  I am intentionally NOT using UDCapture this semester.  </w:t>
      </w:r>
    </w:p>
    <w:p w14:paraId="4DE30220" w14:textId="77777777" w:rsidR="005733C3" w:rsidRDefault="005733C3" w:rsidP="005733C3">
      <w:pPr>
        <w:widowControl w:val="0"/>
        <w:ind w:left="720"/>
        <w:rPr>
          <w:snapToGrid w:val="0"/>
        </w:rPr>
      </w:pPr>
    </w:p>
    <w:p w14:paraId="18D5720D" w14:textId="0D20EAAF" w:rsidR="005733C3" w:rsidRDefault="002C0A08" w:rsidP="005733C3">
      <w:pPr>
        <w:widowControl w:val="0"/>
        <w:numPr>
          <w:ilvl w:val="0"/>
          <w:numId w:val="3"/>
        </w:numPr>
        <w:rPr>
          <w:snapToGrid w:val="0"/>
        </w:rPr>
      </w:pPr>
      <w:r>
        <w:rPr>
          <w:snapToGrid w:val="0"/>
        </w:rPr>
        <w:t>This is a professional development course.  It is expected that you will utilize electronics in a professional manner. S</w:t>
      </w:r>
      <w:r w:rsidR="005733C3" w:rsidRPr="00294AC4">
        <w:rPr>
          <w:snapToGrid w:val="0"/>
        </w:rPr>
        <w:t>ilence all cell phones, and limit use of electronic devices to class-related activities (i.e., use of computers and note taking devices is fine, pl</w:t>
      </w:r>
      <w:r w:rsidR="005733C3">
        <w:rPr>
          <w:snapToGrid w:val="0"/>
        </w:rPr>
        <w:t>ease don’t use them for social media</w:t>
      </w:r>
      <w:r w:rsidR="005733C3" w:rsidRPr="00294AC4">
        <w:rPr>
          <w:snapToGrid w:val="0"/>
        </w:rPr>
        <w:t>, or surfing or use your phones for texting during class- you know you do it…</w:t>
      </w:r>
      <w:r w:rsidR="005733C3">
        <w:rPr>
          <w:i/>
          <w:snapToGrid w:val="0"/>
        </w:rPr>
        <w:t xml:space="preserve"> </w:t>
      </w:r>
      <w:r w:rsidR="005733C3" w:rsidRPr="00294AC4">
        <w:rPr>
          <w:i/>
          <w:snapToGrid w:val="0"/>
          <w:u w:val="single"/>
        </w:rPr>
        <w:t>but you only think you can multi-task.  Research states otherwise…</w:t>
      </w:r>
      <w:r w:rsidR="005733C3" w:rsidRPr="00CB288B">
        <w:rPr>
          <w:i/>
          <w:snapToGrid w:val="0"/>
        </w:rPr>
        <w:t xml:space="preserve">), and limit </w:t>
      </w:r>
      <w:r w:rsidR="005733C3">
        <w:rPr>
          <w:i/>
          <w:snapToGrid w:val="0"/>
        </w:rPr>
        <w:t>in class conversations to whole-</w:t>
      </w:r>
      <w:r w:rsidR="005733C3" w:rsidRPr="00CB288B">
        <w:rPr>
          <w:i/>
          <w:snapToGrid w:val="0"/>
        </w:rPr>
        <w:t>class or structured group discussions.</w:t>
      </w:r>
      <w:r w:rsidR="005733C3" w:rsidRPr="00CB288B">
        <w:rPr>
          <w:snapToGrid w:val="0"/>
        </w:rPr>
        <w:t xml:space="preserve"> </w:t>
      </w:r>
      <w:r w:rsidR="005733C3">
        <w:rPr>
          <w:snapToGrid w:val="0"/>
        </w:rPr>
        <w:t xml:space="preserve">Once you come in to the classroom, please do not leave during class except for emergencies. Thanks.  All of these policies are designed to reduce </w:t>
      </w:r>
      <w:r>
        <w:rPr>
          <w:snapToGrid w:val="0"/>
        </w:rPr>
        <w:t>the distraction level in</w:t>
      </w:r>
      <w:r w:rsidR="005733C3">
        <w:rPr>
          <w:snapToGrid w:val="0"/>
        </w:rPr>
        <w:t xml:space="preserve"> class.  </w:t>
      </w:r>
    </w:p>
    <w:p w14:paraId="4F8509D4" w14:textId="77777777" w:rsidR="005733C3" w:rsidRPr="00CB288B" w:rsidRDefault="005733C3" w:rsidP="005733C3">
      <w:pPr>
        <w:widowControl w:val="0"/>
        <w:rPr>
          <w:snapToGrid w:val="0"/>
        </w:rPr>
      </w:pPr>
    </w:p>
    <w:p w14:paraId="3DD6F131" w14:textId="77777777" w:rsidR="005733C3" w:rsidRDefault="005733C3" w:rsidP="005733C3">
      <w:pPr>
        <w:widowControl w:val="0"/>
        <w:numPr>
          <w:ilvl w:val="0"/>
          <w:numId w:val="3"/>
        </w:numPr>
        <w:rPr>
          <w:snapToGrid w:val="0"/>
        </w:rPr>
      </w:pPr>
      <w:r w:rsidRPr="001B7E3E">
        <w:rPr>
          <w:snapToGrid w:val="0"/>
        </w:rPr>
        <w:t xml:space="preserve">Make-up Policy </w:t>
      </w:r>
      <w:r>
        <w:rPr>
          <w:snapToGrid w:val="0"/>
        </w:rPr>
        <w:t>–</w:t>
      </w:r>
      <w:r w:rsidRPr="001B7E3E">
        <w:rPr>
          <w:snapToGrid w:val="0"/>
        </w:rPr>
        <w:t xml:space="preserve"> </w:t>
      </w:r>
      <w:r>
        <w:rPr>
          <w:snapToGrid w:val="0"/>
        </w:rPr>
        <w:t xml:space="preserve">make-up exams will be given for excused absences if students notify the instructor </w:t>
      </w:r>
      <w:r w:rsidRPr="00CB288B">
        <w:rPr>
          <w:b/>
          <w:i/>
          <w:snapToGrid w:val="0"/>
          <w:u w:val="single"/>
        </w:rPr>
        <w:t>prior to</w:t>
      </w:r>
      <w:r>
        <w:rPr>
          <w:snapToGrid w:val="0"/>
        </w:rPr>
        <w:t xml:space="preserve"> the excused absence, or if notification is received by the instructor within a reasonable time of a legitimate emergency absence.  There are no make-ups for unscheduled in class quizzes, even if you are “just late” to class or were “out” during the quiz.</w:t>
      </w:r>
    </w:p>
    <w:p w14:paraId="79EFC335" w14:textId="77777777" w:rsidR="005733C3" w:rsidRDefault="005733C3" w:rsidP="005733C3">
      <w:pPr>
        <w:widowControl w:val="0"/>
        <w:rPr>
          <w:snapToGrid w:val="0"/>
        </w:rPr>
      </w:pPr>
    </w:p>
    <w:p w14:paraId="7E20C35C" w14:textId="3ECC533D" w:rsidR="005733C3" w:rsidRDefault="005733C3" w:rsidP="005733C3">
      <w:pPr>
        <w:widowControl w:val="0"/>
        <w:numPr>
          <w:ilvl w:val="0"/>
          <w:numId w:val="3"/>
        </w:numPr>
        <w:rPr>
          <w:snapToGrid w:val="0"/>
        </w:rPr>
      </w:pPr>
      <w:r w:rsidRPr="00E82728">
        <w:rPr>
          <w:snapToGrid w:val="0"/>
        </w:rPr>
        <w:t xml:space="preserve">Assignments are due </w:t>
      </w:r>
      <w:r>
        <w:rPr>
          <w:snapToGrid w:val="0"/>
        </w:rPr>
        <w:t xml:space="preserve">on time on </w:t>
      </w:r>
      <w:r w:rsidRPr="00E82728">
        <w:rPr>
          <w:snapToGrid w:val="0"/>
        </w:rPr>
        <w:t>posted due dates</w:t>
      </w:r>
      <w:r>
        <w:rPr>
          <w:snapToGrid w:val="0"/>
        </w:rPr>
        <w:t xml:space="preserve">.   Plan accordingly and allow time to get the materials submitted and time stamped by the </w:t>
      </w:r>
      <w:r w:rsidR="00040837">
        <w:rPr>
          <w:snapToGrid w:val="0"/>
        </w:rPr>
        <w:t>Canvas</w:t>
      </w:r>
      <w:r>
        <w:rPr>
          <w:snapToGrid w:val="0"/>
        </w:rPr>
        <w:t xml:space="preserve"> dropbox system prior to the deadline.  Technological glitches often occur, but they are not legitimate excuses for late submission. Late assignments will be assessed with posted late penalties that accrue across time.</w:t>
      </w:r>
    </w:p>
    <w:p w14:paraId="49F38B0B" w14:textId="77777777" w:rsidR="005733C3" w:rsidRDefault="005733C3" w:rsidP="005733C3">
      <w:pPr>
        <w:widowControl w:val="0"/>
        <w:rPr>
          <w:snapToGrid w:val="0"/>
        </w:rPr>
      </w:pPr>
    </w:p>
    <w:p w14:paraId="1F2A111F" w14:textId="5EE2A9BC" w:rsidR="005733C3" w:rsidRPr="00117305" w:rsidRDefault="005733C3" w:rsidP="005733C3">
      <w:pPr>
        <w:widowControl w:val="0"/>
        <w:numPr>
          <w:ilvl w:val="0"/>
          <w:numId w:val="3"/>
        </w:numPr>
        <w:rPr>
          <w:snapToGrid w:val="0"/>
        </w:rPr>
      </w:pPr>
      <w:r w:rsidRPr="00117305">
        <w:rPr>
          <w:snapToGrid w:val="0"/>
        </w:rPr>
        <w:t>Honor Code – It is expected that all work for this course will be conducted in a manner consistent with the University’s policies on Academic Honesty.  Any infractions will be dealt with according to the rules of t</w:t>
      </w:r>
      <w:r w:rsidR="002C0A08">
        <w:rPr>
          <w:snapToGrid w:val="0"/>
        </w:rPr>
        <w:t>he University. In completing</w:t>
      </w:r>
      <w:r w:rsidRPr="00117305">
        <w:rPr>
          <w:snapToGrid w:val="0"/>
        </w:rPr>
        <w:t xml:space="preserve"> written assignment</w:t>
      </w:r>
      <w:r w:rsidR="002C0A08">
        <w:rPr>
          <w:snapToGrid w:val="0"/>
        </w:rPr>
        <w:t>s</w:t>
      </w:r>
      <w:r w:rsidRPr="00117305">
        <w:rPr>
          <w:snapToGrid w:val="0"/>
        </w:rPr>
        <w:t xml:space="preserve">, students should give written acknowledgement (citation) to intellectual contributions of others, including works cited in the body of the paper.  If direct quotes are used, quotation marks and full citation is required.  During exams, there is to be no talking, no </w:t>
      </w:r>
      <w:r w:rsidRPr="00117305">
        <w:rPr>
          <w:snapToGrid w:val="0"/>
        </w:rPr>
        <w:lastRenderedPageBreak/>
        <w:t xml:space="preserve">looking at others’ exam papers, and all electronic devices are to be turned OFF (not just silenced).  </w:t>
      </w:r>
    </w:p>
    <w:p w14:paraId="2BDF89DC" w14:textId="77777777" w:rsidR="005733C3" w:rsidRDefault="005733C3" w:rsidP="005733C3">
      <w:pPr>
        <w:widowControl w:val="0"/>
        <w:rPr>
          <w:snapToGrid w:val="0"/>
        </w:rPr>
      </w:pPr>
    </w:p>
    <w:p w14:paraId="1B4DCE5F" w14:textId="34962B14" w:rsidR="005733C3" w:rsidRPr="00040837" w:rsidRDefault="005733C3" w:rsidP="00AE2200">
      <w:pPr>
        <w:widowControl w:val="0"/>
        <w:numPr>
          <w:ilvl w:val="0"/>
          <w:numId w:val="3"/>
        </w:numPr>
        <w:rPr>
          <w:snapToGrid w:val="0"/>
        </w:rPr>
      </w:pPr>
      <w:r w:rsidRPr="002C0A08">
        <w:rPr>
          <w:snapToGrid w:val="0"/>
        </w:rPr>
        <w:t xml:space="preserve">Extra credit- there is NO extra credit for this course.  All grades are calculated by summing points across </w:t>
      </w:r>
      <w:r w:rsidR="002C0A08" w:rsidRPr="002C0A08">
        <w:rPr>
          <w:snapToGrid w:val="0"/>
        </w:rPr>
        <w:t xml:space="preserve">all </w:t>
      </w:r>
      <w:r w:rsidRPr="002C0A08">
        <w:rPr>
          <w:snapToGrid w:val="0"/>
        </w:rPr>
        <w:t>exams</w:t>
      </w:r>
      <w:r w:rsidR="002C0A08" w:rsidRPr="002C0A08">
        <w:rPr>
          <w:snapToGrid w:val="0"/>
        </w:rPr>
        <w:t xml:space="preserve"> and</w:t>
      </w:r>
      <w:r w:rsidRPr="002C0A08">
        <w:rPr>
          <w:snapToGrid w:val="0"/>
        </w:rPr>
        <w:t xml:space="preserve"> other graded assignments or assessments, and the total score is compared to posted course grading </w:t>
      </w:r>
      <w:r w:rsidR="002C0A08">
        <w:rPr>
          <w:snapToGrid w:val="0"/>
        </w:rPr>
        <w:t>.</w:t>
      </w:r>
    </w:p>
    <w:p w14:paraId="12F2D0B5" w14:textId="77777777" w:rsidR="005733C3" w:rsidRDefault="005733C3" w:rsidP="00AE2200"/>
    <w:p w14:paraId="1EEE6D4F" w14:textId="3BE42666" w:rsidR="002104AD" w:rsidRDefault="002104AD" w:rsidP="00AE2200">
      <w:r w:rsidRPr="002104AD">
        <w:rPr>
          <w:b/>
        </w:rPr>
        <w:t>Proposed Course Schedule</w:t>
      </w:r>
      <w:r>
        <w:t xml:space="preserve"> (Subject to change with notice)</w:t>
      </w:r>
    </w:p>
    <w:p w14:paraId="133D45EB" w14:textId="30B00D02" w:rsidR="00BB4DEB" w:rsidRPr="00BB4DEB" w:rsidRDefault="00BB4DEB" w:rsidP="00AE2200">
      <w:pPr>
        <w:rPr>
          <w:color w:val="FF0000"/>
        </w:rPr>
      </w:pPr>
      <w:r w:rsidRPr="00BB4DEB">
        <w:rPr>
          <w:color w:val="FF0000"/>
        </w:rPr>
        <w:t>Graded components appear in RED on the course schedule</w:t>
      </w:r>
    </w:p>
    <w:p w14:paraId="3AA1E176" w14:textId="77777777" w:rsidR="002104AD" w:rsidRDefault="002104AD" w:rsidP="00AE2200"/>
    <w:tbl>
      <w:tblPr>
        <w:tblStyle w:val="TableGrid"/>
        <w:tblW w:w="0" w:type="auto"/>
        <w:tblLook w:val="04A0" w:firstRow="1" w:lastRow="0" w:firstColumn="1" w:lastColumn="0" w:noHBand="0" w:noVBand="1"/>
      </w:tblPr>
      <w:tblGrid>
        <w:gridCol w:w="959"/>
        <w:gridCol w:w="1106"/>
        <w:gridCol w:w="3330"/>
        <w:gridCol w:w="3955"/>
      </w:tblGrid>
      <w:tr w:rsidR="00651776" w14:paraId="1966D500" w14:textId="77777777" w:rsidTr="00651776">
        <w:tc>
          <w:tcPr>
            <w:tcW w:w="959" w:type="dxa"/>
          </w:tcPr>
          <w:p w14:paraId="040E6F38" w14:textId="77777777" w:rsidR="002104AD" w:rsidRPr="001D2895" w:rsidRDefault="002104AD" w:rsidP="00A51730">
            <w:pPr>
              <w:jc w:val="center"/>
              <w:rPr>
                <w:b/>
              </w:rPr>
            </w:pPr>
            <w:r w:rsidRPr="001D2895">
              <w:rPr>
                <w:b/>
              </w:rPr>
              <w:t>Class</w:t>
            </w:r>
          </w:p>
          <w:p w14:paraId="26ECA3CB" w14:textId="39DB7F3B" w:rsidR="002104AD" w:rsidRPr="001D2895" w:rsidRDefault="002104AD" w:rsidP="00A51730">
            <w:pPr>
              <w:jc w:val="center"/>
              <w:rPr>
                <w:b/>
              </w:rPr>
            </w:pPr>
            <w:r w:rsidRPr="001D2895">
              <w:rPr>
                <w:b/>
              </w:rPr>
              <w:t>Session</w:t>
            </w:r>
          </w:p>
        </w:tc>
        <w:tc>
          <w:tcPr>
            <w:tcW w:w="1106" w:type="dxa"/>
          </w:tcPr>
          <w:p w14:paraId="1ED2B82D" w14:textId="06CDF996" w:rsidR="002104AD" w:rsidRPr="001D2895" w:rsidRDefault="002104AD" w:rsidP="00A51730">
            <w:pPr>
              <w:jc w:val="center"/>
              <w:rPr>
                <w:b/>
              </w:rPr>
            </w:pPr>
            <w:r w:rsidRPr="001D2895">
              <w:rPr>
                <w:b/>
              </w:rPr>
              <w:t>Date</w:t>
            </w:r>
          </w:p>
        </w:tc>
        <w:tc>
          <w:tcPr>
            <w:tcW w:w="3330" w:type="dxa"/>
          </w:tcPr>
          <w:p w14:paraId="14F04EFF" w14:textId="26391AE0" w:rsidR="002104AD" w:rsidRPr="001D2895" w:rsidRDefault="002104AD" w:rsidP="00A51730">
            <w:pPr>
              <w:jc w:val="center"/>
              <w:rPr>
                <w:b/>
              </w:rPr>
            </w:pPr>
            <w:r w:rsidRPr="001D2895">
              <w:rPr>
                <w:b/>
              </w:rPr>
              <w:t>Topic</w:t>
            </w:r>
          </w:p>
        </w:tc>
        <w:tc>
          <w:tcPr>
            <w:tcW w:w="3955" w:type="dxa"/>
          </w:tcPr>
          <w:p w14:paraId="62134C66" w14:textId="77C8D259" w:rsidR="002104AD" w:rsidRPr="001D2895" w:rsidRDefault="002104AD" w:rsidP="00A51730">
            <w:pPr>
              <w:jc w:val="center"/>
              <w:rPr>
                <w:b/>
              </w:rPr>
            </w:pPr>
            <w:r w:rsidRPr="001D2895">
              <w:rPr>
                <w:b/>
              </w:rPr>
              <w:t>Readings/Assignments/Etc.</w:t>
            </w:r>
          </w:p>
        </w:tc>
      </w:tr>
      <w:tr w:rsidR="00651776" w14:paraId="1E7C7883" w14:textId="77777777" w:rsidTr="00651776">
        <w:trPr>
          <w:trHeight w:val="1187"/>
        </w:trPr>
        <w:tc>
          <w:tcPr>
            <w:tcW w:w="959" w:type="dxa"/>
          </w:tcPr>
          <w:p w14:paraId="46002664" w14:textId="52B33FBD" w:rsidR="002104AD" w:rsidRPr="001D2895" w:rsidRDefault="00A51730" w:rsidP="00A51730">
            <w:pPr>
              <w:jc w:val="center"/>
              <w:rPr>
                <w:b/>
              </w:rPr>
            </w:pPr>
            <w:r w:rsidRPr="001D2895">
              <w:rPr>
                <w:b/>
              </w:rPr>
              <w:t>1</w:t>
            </w:r>
          </w:p>
        </w:tc>
        <w:tc>
          <w:tcPr>
            <w:tcW w:w="1106" w:type="dxa"/>
          </w:tcPr>
          <w:p w14:paraId="190622B7" w14:textId="45D56072" w:rsidR="002104AD" w:rsidRDefault="002307F7" w:rsidP="001D2895">
            <w:pPr>
              <w:jc w:val="center"/>
            </w:pPr>
            <w:r>
              <w:t>8-30</w:t>
            </w:r>
            <w:r w:rsidR="001D2895">
              <w:t>-1</w:t>
            </w:r>
            <w:r w:rsidR="008F262F">
              <w:t>8</w:t>
            </w:r>
          </w:p>
        </w:tc>
        <w:tc>
          <w:tcPr>
            <w:tcW w:w="3330" w:type="dxa"/>
          </w:tcPr>
          <w:p w14:paraId="79422BBE" w14:textId="782A97AC" w:rsidR="002104AD" w:rsidRDefault="00664AD2" w:rsidP="00AE2200">
            <w:r>
              <w:t>Course Introduction</w:t>
            </w:r>
            <w:r w:rsidR="00D62BD5">
              <w:t xml:space="preserve"> and Overview</w:t>
            </w:r>
            <w:r w:rsidR="00312D24">
              <w:t>:</w:t>
            </w:r>
          </w:p>
          <w:p w14:paraId="7A9521AA" w14:textId="46396A86" w:rsidR="00312D24" w:rsidRDefault="00312D24" w:rsidP="00AE2200">
            <w:r>
              <w:t xml:space="preserve">     What is Risk? What is Resilience?</w:t>
            </w:r>
          </w:p>
          <w:p w14:paraId="34DC108F" w14:textId="79741397" w:rsidR="00312D24" w:rsidRDefault="00312D24" w:rsidP="00AE2200">
            <w:r>
              <w:t xml:space="preserve">     Personal windows on risk and resilience</w:t>
            </w:r>
          </w:p>
          <w:p w14:paraId="15098C7C" w14:textId="77777777" w:rsidR="00312D24" w:rsidRDefault="00312D24" w:rsidP="00AE2200">
            <w:r>
              <w:t xml:space="preserve">     Variability in Resources/Opportunity                 Structures</w:t>
            </w:r>
          </w:p>
          <w:p w14:paraId="1B6E856C" w14:textId="213C6102" w:rsidR="00D62BD5" w:rsidRDefault="00D62BD5" w:rsidP="00AE2200">
            <w:r>
              <w:t xml:space="preserve">     Review of approaches, objectives, assignments and policies</w:t>
            </w:r>
          </w:p>
        </w:tc>
        <w:tc>
          <w:tcPr>
            <w:tcW w:w="3955" w:type="dxa"/>
          </w:tcPr>
          <w:p w14:paraId="7A0149E3" w14:textId="59AADF6D" w:rsidR="002104AD" w:rsidRDefault="00664AD2" w:rsidP="00AE2200">
            <w:r>
              <w:t>-</w:t>
            </w:r>
          </w:p>
        </w:tc>
      </w:tr>
      <w:tr w:rsidR="00651776" w14:paraId="4AFC7935" w14:textId="77777777" w:rsidTr="00651776">
        <w:tc>
          <w:tcPr>
            <w:tcW w:w="959" w:type="dxa"/>
          </w:tcPr>
          <w:p w14:paraId="0100643B" w14:textId="41A11917" w:rsidR="002104AD" w:rsidRPr="001D2895" w:rsidRDefault="00A51730" w:rsidP="00A51730">
            <w:pPr>
              <w:jc w:val="center"/>
              <w:rPr>
                <w:b/>
              </w:rPr>
            </w:pPr>
            <w:r w:rsidRPr="001D2895">
              <w:rPr>
                <w:b/>
              </w:rPr>
              <w:t>2</w:t>
            </w:r>
          </w:p>
        </w:tc>
        <w:tc>
          <w:tcPr>
            <w:tcW w:w="1106" w:type="dxa"/>
          </w:tcPr>
          <w:p w14:paraId="2827F48F" w14:textId="0FA92E56" w:rsidR="002104AD" w:rsidRDefault="001D2895" w:rsidP="001D2895">
            <w:pPr>
              <w:jc w:val="center"/>
            </w:pPr>
            <w:r>
              <w:t>9-</w:t>
            </w:r>
            <w:r w:rsidR="008F262F">
              <w:t>6-18</w:t>
            </w:r>
          </w:p>
        </w:tc>
        <w:tc>
          <w:tcPr>
            <w:tcW w:w="3330" w:type="dxa"/>
          </w:tcPr>
          <w:p w14:paraId="4EAB5BC6" w14:textId="77777777" w:rsidR="00D62BD5" w:rsidRDefault="00D62BD5" w:rsidP="00AE2200">
            <w:r>
              <w:t>NDEHS Contexts, philosophy and approaches</w:t>
            </w:r>
          </w:p>
          <w:p w14:paraId="59B6F200" w14:textId="77777777" w:rsidR="002104AD" w:rsidRDefault="00066463" w:rsidP="00AE2200">
            <w:r>
              <w:t>Guest Speaker: Heidi Beck, Director of NDEHS</w:t>
            </w:r>
          </w:p>
          <w:p w14:paraId="1FDDE9EB" w14:textId="6952BEA2" w:rsidR="00066463" w:rsidRDefault="00066463" w:rsidP="00AE2200">
            <w:r>
              <w:t>Guest Panel: NDEHS Home Visitors</w:t>
            </w:r>
          </w:p>
        </w:tc>
        <w:tc>
          <w:tcPr>
            <w:tcW w:w="3955" w:type="dxa"/>
          </w:tcPr>
          <w:p w14:paraId="1B6BD4A5" w14:textId="77777777" w:rsidR="002104AD" w:rsidRDefault="00066463" w:rsidP="00AE2200">
            <w:r>
              <w:t>Review: Home Visitor’s Handbook for the Head-Start Home-Based Program</w:t>
            </w:r>
          </w:p>
          <w:p w14:paraId="1F63994A" w14:textId="12C99071" w:rsidR="00066463" w:rsidRDefault="00066463" w:rsidP="00AE2200">
            <w:r>
              <w:t>Review: NDEHS Parent Handbook</w:t>
            </w:r>
          </w:p>
        </w:tc>
      </w:tr>
      <w:tr w:rsidR="00651776" w14:paraId="0AFE6B1D" w14:textId="77777777" w:rsidTr="00651776">
        <w:tc>
          <w:tcPr>
            <w:tcW w:w="959" w:type="dxa"/>
          </w:tcPr>
          <w:p w14:paraId="5214B42A" w14:textId="1EECA960" w:rsidR="002104AD" w:rsidRPr="001D2895" w:rsidRDefault="00A51730" w:rsidP="00A51730">
            <w:pPr>
              <w:jc w:val="center"/>
              <w:rPr>
                <w:b/>
              </w:rPr>
            </w:pPr>
            <w:r w:rsidRPr="001D2895">
              <w:rPr>
                <w:b/>
              </w:rPr>
              <w:t>3</w:t>
            </w:r>
          </w:p>
        </w:tc>
        <w:tc>
          <w:tcPr>
            <w:tcW w:w="1106" w:type="dxa"/>
          </w:tcPr>
          <w:p w14:paraId="52C2D17A" w14:textId="41AACBCE" w:rsidR="002104AD" w:rsidRDefault="001D2895" w:rsidP="001D2895">
            <w:pPr>
              <w:jc w:val="center"/>
            </w:pPr>
            <w:r>
              <w:t>9-1</w:t>
            </w:r>
            <w:r w:rsidR="008F262F">
              <w:t>3-18</w:t>
            </w:r>
          </w:p>
        </w:tc>
        <w:tc>
          <w:tcPr>
            <w:tcW w:w="3330" w:type="dxa"/>
          </w:tcPr>
          <w:p w14:paraId="16EB0C64" w14:textId="7697EE6B" w:rsidR="002104AD" w:rsidRDefault="00D62BD5" w:rsidP="00AE2200">
            <w:r>
              <w:t>Family Diversity and Contemporary Contexts</w:t>
            </w:r>
          </w:p>
        </w:tc>
        <w:tc>
          <w:tcPr>
            <w:tcW w:w="3955" w:type="dxa"/>
          </w:tcPr>
          <w:p w14:paraId="3DA266B9" w14:textId="77777777" w:rsidR="002104AD" w:rsidRDefault="00D62BD5" w:rsidP="00AE2200">
            <w:r>
              <w:t>CH1 Hanson &amp; Lynch- Families in the 21</w:t>
            </w:r>
            <w:r w:rsidRPr="00D62BD5">
              <w:rPr>
                <w:vertAlign w:val="superscript"/>
              </w:rPr>
              <w:t>st</w:t>
            </w:r>
            <w:r>
              <w:t xml:space="preserve"> century</w:t>
            </w:r>
          </w:p>
          <w:p w14:paraId="19A9771F" w14:textId="154B8EB8" w:rsidR="006710D0" w:rsidRDefault="006710D0" w:rsidP="00AE2200">
            <w:r>
              <w:t>CH2 Hanson &amp; Lynch- Cultural, ethnic and linguistic diversity</w:t>
            </w:r>
          </w:p>
          <w:p w14:paraId="52470E5A" w14:textId="1A4B97C2" w:rsidR="00D62BD5" w:rsidRDefault="00D62BD5" w:rsidP="00AE2200">
            <w:r>
              <w:t xml:space="preserve">CH1 &amp; 2 </w:t>
            </w:r>
            <w:r w:rsidRPr="00D62BD5">
              <w:rPr>
                <w:i/>
              </w:rPr>
              <w:t>Doing the best I can</w:t>
            </w:r>
          </w:p>
        </w:tc>
      </w:tr>
      <w:tr w:rsidR="00651776" w14:paraId="27660D89" w14:textId="77777777" w:rsidTr="00651776">
        <w:tc>
          <w:tcPr>
            <w:tcW w:w="959" w:type="dxa"/>
          </w:tcPr>
          <w:p w14:paraId="504D9E5B" w14:textId="79702A60" w:rsidR="002104AD" w:rsidRPr="001D2895" w:rsidRDefault="00A51730" w:rsidP="00A51730">
            <w:pPr>
              <w:jc w:val="center"/>
              <w:rPr>
                <w:b/>
              </w:rPr>
            </w:pPr>
            <w:r w:rsidRPr="001D2895">
              <w:rPr>
                <w:b/>
              </w:rPr>
              <w:t>4</w:t>
            </w:r>
          </w:p>
        </w:tc>
        <w:tc>
          <w:tcPr>
            <w:tcW w:w="1106" w:type="dxa"/>
          </w:tcPr>
          <w:p w14:paraId="5D5FF7E6" w14:textId="17AE377F" w:rsidR="002104AD" w:rsidRDefault="001D2895" w:rsidP="001D2895">
            <w:pPr>
              <w:jc w:val="center"/>
            </w:pPr>
            <w:r>
              <w:t>9-2</w:t>
            </w:r>
            <w:r w:rsidR="008F262F">
              <w:t>0-18</w:t>
            </w:r>
          </w:p>
        </w:tc>
        <w:tc>
          <w:tcPr>
            <w:tcW w:w="3330" w:type="dxa"/>
          </w:tcPr>
          <w:p w14:paraId="45B60D85" w14:textId="5C1FEFF3" w:rsidR="002104AD" w:rsidRDefault="002104AD" w:rsidP="00AE2200"/>
        </w:tc>
        <w:tc>
          <w:tcPr>
            <w:tcW w:w="3955" w:type="dxa"/>
          </w:tcPr>
          <w:p w14:paraId="25CA7FF2" w14:textId="2ED72E6A" w:rsidR="00651776" w:rsidRDefault="00651776" w:rsidP="00AE2200">
            <w:r>
              <w:t>Web resources: ECOMAPS 1 &amp; 2</w:t>
            </w:r>
          </w:p>
          <w:p w14:paraId="6A205D0F" w14:textId="4D162C1C" w:rsidR="006710D0" w:rsidRDefault="006710D0" w:rsidP="006710D0">
            <w:r>
              <w:t xml:space="preserve">CH3 Hanson &amp; Lynch- Families in Context: Conceptual Frameworks for </w:t>
            </w:r>
            <w:proofErr w:type="spellStart"/>
            <w:r>
              <w:t>Understsanding</w:t>
            </w:r>
            <w:proofErr w:type="spellEnd"/>
            <w:r>
              <w:t xml:space="preserve"> and Supporting Families</w:t>
            </w:r>
          </w:p>
          <w:p w14:paraId="74316E6C" w14:textId="769F01D4" w:rsidR="00651776" w:rsidRDefault="006710D0" w:rsidP="006710D0">
            <w:r>
              <w:t>CH4 Hanson &amp; Lynch Traditional and Evolving Family Roles</w:t>
            </w:r>
          </w:p>
        </w:tc>
      </w:tr>
      <w:tr w:rsidR="00651776" w14:paraId="075C906E" w14:textId="77777777" w:rsidTr="00651776">
        <w:tc>
          <w:tcPr>
            <w:tcW w:w="959" w:type="dxa"/>
          </w:tcPr>
          <w:p w14:paraId="1E436970" w14:textId="5F16A30D" w:rsidR="002104AD" w:rsidRPr="001D2895" w:rsidRDefault="00A51730" w:rsidP="00A51730">
            <w:pPr>
              <w:jc w:val="center"/>
              <w:rPr>
                <w:b/>
              </w:rPr>
            </w:pPr>
            <w:r w:rsidRPr="001D2895">
              <w:rPr>
                <w:b/>
              </w:rPr>
              <w:lastRenderedPageBreak/>
              <w:t>5</w:t>
            </w:r>
          </w:p>
        </w:tc>
        <w:tc>
          <w:tcPr>
            <w:tcW w:w="1106" w:type="dxa"/>
          </w:tcPr>
          <w:p w14:paraId="1122149E" w14:textId="6AE51C3F" w:rsidR="002104AD" w:rsidRDefault="001D2895" w:rsidP="001D2895">
            <w:pPr>
              <w:jc w:val="center"/>
            </w:pPr>
            <w:r>
              <w:t>9-2</w:t>
            </w:r>
            <w:r w:rsidR="008F262F">
              <w:t>7-18</w:t>
            </w:r>
          </w:p>
        </w:tc>
        <w:tc>
          <w:tcPr>
            <w:tcW w:w="3330" w:type="dxa"/>
          </w:tcPr>
          <w:p w14:paraId="637DAEB0" w14:textId="54FB3702" w:rsidR="002104AD" w:rsidRDefault="006710D0" w:rsidP="00AE2200">
            <w:r>
              <w:t>Understanding Risk and Strengths in Contexts</w:t>
            </w:r>
          </w:p>
        </w:tc>
        <w:tc>
          <w:tcPr>
            <w:tcW w:w="3955" w:type="dxa"/>
          </w:tcPr>
          <w:p w14:paraId="62CFB90B" w14:textId="77777777" w:rsidR="006710D0" w:rsidRDefault="006710D0" w:rsidP="006710D0">
            <w:r>
              <w:t>Hanson &amp; Lynch pp. 61-68</w:t>
            </w:r>
          </w:p>
          <w:p w14:paraId="55FACE89" w14:textId="77777777" w:rsidR="006710D0" w:rsidRDefault="006710D0" w:rsidP="006710D0">
            <w:proofErr w:type="spellStart"/>
            <w:r w:rsidRPr="00A12944">
              <w:t>Farrall</w:t>
            </w:r>
            <w:proofErr w:type="spellEnd"/>
            <w:r w:rsidRPr="00A12944">
              <w:t xml:space="preserve"> &amp; </w:t>
            </w:r>
            <w:proofErr w:type="spellStart"/>
            <w:r w:rsidRPr="00A12944">
              <w:t>Arney</w:t>
            </w:r>
            <w:proofErr w:type="spellEnd"/>
            <w:r w:rsidRPr="00A12944">
              <w:t xml:space="preserve">, F. (2010).  Harnessing “resilience” when working with children and families.  In F. </w:t>
            </w:r>
            <w:proofErr w:type="spellStart"/>
            <w:r w:rsidRPr="00A12944">
              <w:t>Arney</w:t>
            </w:r>
            <w:proofErr w:type="spellEnd"/>
            <w:r w:rsidRPr="00A12944">
              <w:t xml:space="preserve"> &amp; D. Scott (Eds.), Working with Vulnerable Families: A partnership approach.  (pp. 49-64) New York: Cambridge University Press.</w:t>
            </w:r>
            <w:r>
              <w:t xml:space="preserve">  </w:t>
            </w:r>
          </w:p>
          <w:p w14:paraId="11D23B0F" w14:textId="77777777" w:rsidR="006710D0" w:rsidRDefault="006710D0" w:rsidP="006710D0">
            <w:r>
              <w:t xml:space="preserve">Web Resource: Search Institute </w:t>
            </w:r>
          </w:p>
          <w:p w14:paraId="54F552B0" w14:textId="49306765" w:rsidR="006710D0" w:rsidRDefault="006710D0" w:rsidP="006710D0">
            <w:proofErr w:type="spellStart"/>
            <w:r>
              <w:t>Masten</w:t>
            </w:r>
            <w:proofErr w:type="spellEnd"/>
            <w:r>
              <w:t xml:space="preserve">, A.S. (2009).  Ordinary Magic: Lessons from research on resilience in human development.  Canadian Education Association, 49, 29-32.  </w:t>
            </w:r>
          </w:p>
          <w:p w14:paraId="67A3861A" w14:textId="60FB6954" w:rsidR="0085329F" w:rsidRDefault="006710D0" w:rsidP="00AE2200">
            <w:r>
              <w:t xml:space="preserve">CHS 3&amp;4 </w:t>
            </w:r>
            <w:r w:rsidRPr="006710D0">
              <w:rPr>
                <w:i/>
              </w:rPr>
              <w:t>Doing the best I can</w:t>
            </w:r>
          </w:p>
        </w:tc>
      </w:tr>
      <w:tr w:rsidR="00651776" w14:paraId="1D0C765B" w14:textId="77777777" w:rsidTr="00651776">
        <w:tc>
          <w:tcPr>
            <w:tcW w:w="959" w:type="dxa"/>
          </w:tcPr>
          <w:p w14:paraId="3478505C" w14:textId="627202F3" w:rsidR="002104AD" w:rsidRPr="00D61E83" w:rsidRDefault="00A51730" w:rsidP="00A51730">
            <w:pPr>
              <w:jc w:val="center"/>
              <w:rPr>
                <w:b/>
              </w:rPr>
            </w:pPr>
            <w:r w:rsidRPr="00D61E83">
              <w:rPr>
                <w:b/>
              </w:rPr>
              <w:t>6</w:t>
            </w:r>
          </w:p>
        </w:tc>
        <w:tc>
          <w:tcPr>
            <w:tcW w:w="1106" w:type="dxa"/>
          </w:tcPr>
          <w:p w14:paraId="051D7E8B" w14:textId="6227DF11" w:rsidR="002104AD" w:rsidRPr="00D61E83" w:rsidRDefault="001D2895" w:rsidP="001D2895">
            <w:pPr>
              <w:jc w:val="center"/>
            </w:pPr>
            <w:r w:rsidRPr="00D61E83">
              <w:t>10-</w:t>
            </w:r>
            <w:r w:rsidR="008F262F" w:rsidRPr="00D61E83">
              <w:t>4-18</w:t>
            </w:r>
          </w:p>
        </w:tc>
        <w:tc>
          <w:tcPr>
            <w:tcW w:w="3330" w:type="dxa"/>
          </w:tcPr>
          <w:p w14:paraId="578C3EE9" w14:textId="084FBD97" w:rsidR="002104AD" w:rsidRPr="00D61E83" w:rsidRDefault="006710D0" w:rsidP="00AE2200">
            <w:r w:rsidRPr="00D61E83">
              <w:t>Family Partnerships and Relationship Centered Practices with Families</w:t>
            </w:r>
          </w:p>
        </w:tc>
        <w:tc>
          <w:tcPr>
            <w:tcW w:w="3955" w:type="dxa"/>
          </w:tcPr>
          <w:p w14:paraId="7A123761" w14:textId="5DFDD924" w:rsidR="006710D0" w:rsidRPr="00D61E83" w:rsidRDefault="006710D0" w:rsidP="006710D0">
            <w:r w:rsidRPr="00D61E83">
              <w:t>Hanson &amp; Lynch- 103-105.  CH 9, Creating Family-Professional Alliances</w:t>
            </w:r>
          </w:p>
          <w:p w14:paraId="4C6E1291" w14:textId="77777777" w:rsidR="003832A9" w:rsidRPr="00D61E83" w:rsidRDefault="006710D0" w:rsidP="006710D0">
            <w:proofErr w:type="spellStart"/>
            <w:r w:rsidRPr="00D61E83">
              <w:t>Eshner</w:t>
            </w:r>
            <w:proofErr w:type="spellEnd"/>
            <w:r w:rsidRPr="00D61E83">
              <w:t xml:space="preserve">, G.L. &amp; Clark, D.A. (2011). A framework for best practices.  In Relationship-Centered Practices in Early Childhood (pp. 3-14).  Baltimore: Paul H. Brooks Publishing Company. </w:t>
            </w:r>
          </w:p>
          <w:p w14:paraId="3A565520" w14:textId="56004852" w:rsidR="00D4596E" w:rsidRPr="00D61E83" w:rsidRDefault="003832A9" w:rsidP="006710D0">
            <w:r w:rsidRPr="00D61E83">
              <w:t xml:space="preserve">CHS 5&amp;6 </w:t>
            </w:r>
            <w:r w:rsidR="006710D0" w:rsidRPr="00D61E83">
              <w:t xml:space="preserve"> </w:t>
            </w:r>
            <w:r w:rsidRPr="00D61E83">
              <w:rPr>
                <w:i/>
              </w:rPr>
              <w:t>Doing the best I can</w:t>
            </w:r>
          </w:p>
        </w:tc>
      </w:tr>
      <w:tr w:rsidR="00651776" w14:paraId="02F32D86" w14:textId="77777777" w:rsidTr="00651776">
        <w:tc>
          <w:tcPr>
            <w:tcW w:w="959" w:type="dxa"/>
          </w:tcPr>
          <w:p w14:paraId="1DB6606D" w14:textId="18421C32" w:rsidR="002104AD" w:rsidRPr="001D2895" w:rsidRDefault="00A51730" w:rsidP="00A51730">
            <w:pPr>
              <w:jc w:val="center"/>
              <w:rPr>
                <w:b/>
              </w:rPr>
            </w:pPr>
            <w:r w:rsidRPr="001D2895">
              <w:rPr>
                <w:b/>
              </w:rPr>
              <w:t>7</w:t>
            </w:r>
          </w:p>
        </w:tc>
        <w:tc>
          <w:tcPr>
            <w:tcW w:w="1106" w:type="dxa"/>
          </w:tcPr>
          <w:p w14:paraId="022550B6" w14:textId="318D2F28" w:rsidR="002104AD" w:rsidRDefault="001D2895" w:rsidP="001D2895">
            <w:pPr>
              <w:jc w:val="center"/>
            </w:pPr>
            <w:r>
              <w:t>10-1</w:t>
            </w:r>
            <w:r w:rsidR="008F262F">
              <w:t>1-18</w:t>
            </w:r>
          </w:p>
        </w:tc>
        <w:tc>
          <w:tcPr>
            <w:tcW w:w="3330" w:type="dxa"/>
          </w:tcPr>
          <w:p w14:paraId="1F206FD0" w14:textId="77777777" w:rsidR="002104AD" w:rsidRDefault="006710D0" w:rsidP="00AE2200">
            <w:r>
              <w:t>Translating Empowerment to Practice</w:t>
            </w:r>
          </w:p>
          <w:p w14:paraId="6C960CD0" w14:textId="3A6E4E83" w:rsidR="00BB4DEB" w:rsidRPr="00BB4DEB" w:rsidRDefault="00BB4DEB" w:rsidP="00AE2200">
            <w:pPr>
              <w:rPr>
                <w:color w:val="FF0000"/>
              </w:rPr>
            </w:pPr>
            <w:r>
              <w:rPr>
                <w:color w:val="FF0000"/>
              </w:rPr>
              <w:t>Family Transitions Paper Due</w:t>
            </w:r>
          </w:p>
        </w:tc>
        <w:tc>
          <w:tcPr>
            <w:tcW w:w="3955" w:type="dxa"/>
          </w:tcPr>
          <w:p w14:paraId="4EF49FF5" w14:textId="77777777" w:rsidR="006710D0" w:rsidRDefault="006710D0" w:rsidP="006710D0">
            <w:r>
              <w:t>CH 10, 11 &amp; 11A, Hanson &amp; Lynch</w:t>
            </w:r>
          </w:p>
          <w:p w14:paraId="63E35A2A" w14:textId="77777777" w:rsidR="002104AD" w:rsidRDefault="006710D0" w:rsidP="006710D0">
            <w:r>
              <w:t>Communicating and Collaborating with Families, Strategies for Supporting Families</w:t>
            </w:r>
            <w:r w:rsidR="00D4596E">
              <w:t xml:space="preserve"> </w:t>
            </w:r>
          </w:p>
          <w:p w14:paraId="53767855" w14:textId="359C0A13" w:rsidR="003832A9" w:rsidRDefault="003832A9" w:rsidP="006710D0">
            <w:r>
              <w:t xml:space="preserve">CHS 7&amp;8 </w:t>
            </w:r>
            <w:r w:rsidRPr="006710D0">
              <w:rPr>
                <w:i/>
              </w:rPr>
              <w:t>Doing the best I can</w:t>
            </w:r>
          </w:p>
        </w:tc>
      </w:tr>
      <w:tr w:rsidR="00651776" w14:paraId="6D0E7D4F" w14:textId="77777777" w:rsidTr="00651776">
        <w:tc>
          <w:tcPr>
            <w:tcW w:w="959" w:type="dxa"/>
          </w:tcPr>
          <w:p w14:paraId="61D757F6" w14:textId="09059F86" w:rsidR="002104AD" w:rsidRPr="001D2895" w:rsidRDefault="00A51730" w:rsidP="00A51730">
            <w:pPr>
              <w:jc w:val="center"/>
              <w:rPr>
                <w:b/>
              </w:rPr>
            </w:pPr>
            <w:r w:rsidRPr="001D2895">
              <w:rPr>
                <w:b/>
              </w:rPr>
              <w:t>8</w:t>
            </w:r>
          </w:p>
        </w:tc>
        <w:tc>
          <w:tcPr>
            <w:tcW w:w="1106" w:type="dxa"/>
          </w:tcPr>
          <w:p w14:paraId="46261C96" w14:textId="4164A053" w:rsidR="002104AD" w:rsidRDefault="001D2895" w:rsidP="001D2895">
            <w:pPr>
              <w:jc w:val="center"/>
            </w:pPr>
            <w:r>
              <w:t>10-1</w:t>
            </w:r>
            <w:r w:rsidR="00FA6309">
              <w:t>8-18</w:t>
            </w:r>
          </w:p>
        </w:tc>
        <w:tc>
          <w:tcPr>
            <w:tcW w:w="3330" w:type="dxa"/>
          </w:tcPr>
          <w:p w14:paraId="3F237518" w14:textId="23EB3796" w:rsidR="002104AD" w:rsidRDefault="006710D0" w:rsidP="00AE2200">
            <w:r w:rsidRPr="00BB4DEB">
              <w:rPr>
                <w:color w:val="FF0000"/>
              </w:rPr>
              <w:t>Midterm Exam</w:t>
            </w:r>
            <w:r w:rsidR="00F22B40" w:rsidRPr="00BB4DEB">
              <w:rPr>
                <w:color w:val="FF0000"/>
              </w:rPr>
              <w:t xml:space="preserve"> 1</w:t>
            </w:r>
          </w:p>
        </w:tc>
        <w:tc>
          <w:tcPr>
            <w:tcW w:w="3955" w:type="dxa"/>
          </w:tcPr>
          <w:p w14:paraId="4E4FF8F4" w14:textId="0F5C590E" w:rsidR="003063E8" w:rsidRDefault="00F22B40" w:rsidP="00AE2200">
            <w:r>
              <w:t>General Contexts and Approaches to Families and Children at Risk</w:t>
            </w:r>
          </w:p>
        </w:tc>
      </w:tr>
      <w:tr w:rsidR="006710D0" w14:paraId="3978AF8C" w14:textId="77777777" w:rsidTr="00651776">
        <w:tc>
          <w:tcPr>
            <w:tcW w:w="959" w:type="dxa"/>
          </w:tcPr>
          <w:p w14:paraId="1831582A" w14:textId="37C58011" w:rsidR="006710D0" w:rsidRPr="001D2895" w:rsidRDefault="006710D0" w:rsidP="00A51730">
            <w:pPr>
              <w:jc w:val="center"/>
              <w:rPr>
                <w:b/>
              </w:rPr>
            </w:pPr>
            <w:r w:rsidRPr="001D2895">
              <w:rPr>
                <w:b/>
              </w:rPr>
              <w:t>9</w:t>
            </w:r>
          </w:p>
        </w:tc>
        <w:tc>
          <w:tcPr>
            <w:tcW w:w="1106" w:type="dxa"/>
          </w:tcPr>
          <w:p w14:paraId="5FEA2347" w14:textId="583A8A71" w:rsidR="006710D0" w:rsidRDefault="006710D0" w:rsidP="001D2895">
            <w:pPr>
              <w:jc w:val="center"/>
            </w:pPr>
            <w:r>
              <w:t>10-2</w:t>
            </w:r>
            <w:r w:rsidR="00FA6309">
              <w:t>5-18</w:t>
            </w:r>
          </w:p>
        </w:tc>
        <w:tc>
          <w:tcPr>
            <w:tcW w:w="3330" w:type="dxa"/>
          </w:tcPr>
          <w:p w14:paraId="34C6CA29" w14:textId="77777777" w:rsidR="006710D0" w:rsidRDefault="006710D0" w:rsidP="00AE2200">
            <w:r>
              <w:t>Poverty  &amp; Homelessness</w:t>
            </w:r>
          </w:p>
          <w:p w14:paraId="34584411" w14:textId="760D4AA8" w:rsidR="00BB4DEB" w:rsidRPr="00BB4DEB" w:rsidRDefault="00BB4DEB" w:rsidP="00AE2200">
            <w:pPr>
              <w:rPr>
                <w:color w:val="FF0000"/>
              </w:rPr>
            </w:pPr>
          </w:p>
        </w:tc>
        <w:tc>
          <w:tcPr>
            <w:tcW w:w="3955" w:type="dxa"/>
          </w:tcPr>
          <w:p w14:paraId="024ACF34" w14:textId="77777777" w:rsidR="006710D0" w:rsidRDefault="006710D0" w:rsidP="003D2AE6">
            <w:r>
              <w:t>CH 6, Hanson &amp; Lynch, Families Living in Poverty</w:t>
            </w:r>
          </w:p>
          <w:p w14:paraId="393821E2" w14:textId="0AFBBE7B" w:rsidR="006710D0" w:rsidRDefault="006710D0" w:rsidP="00AE2200">
            <w:r>
              <w:t>Web Resource: National Center on Poverty: 10 important questions about childhood poverty and family economic hardship</w:t>
            </w:r>
          </w:p>
        </w:tc>
      </w:tr>
      <w:tr w:rsidR="006710D0" w14:paraId="6E106BE2" w14:textId="77777777" w:rsidTr="00651776">
        <w:tc>
          <w:tcPr>
            <w:tcW w:w="959" w:type="dxa"/>
          </w:tcPr>
          <w:p w14:paraId="5865115D" w14:textId="2ECEE258" w:rsidR="006710D0" w:rsidRPr="001D2895" w:rsidRDefault="006710D0" w:rsidP="00A51730">
            <w:pPr>
              <w:jc w:val="center"/>
              <w:rPr>
                <w:b/>
              </w:rPr>
            </w:pPr>
            <w:r w:rsidRPr="001D2895">
              <w:rPr>
                <w:b/>
              </w:rPr>
              <w:t>10</w:t>
            </w:r>
          </w:p>
        </w:tc>
        <w:tc>
          <w:tcPr>
            <w:tcW w:w="1106" w:type="dxa"/>
          </w:tcPr>
          <w:p w14:paraId="65F35C88" w14:textId="1993824F" w:rsidR="006710D0" w:rsidRDefault="006710D0" w:rsidP="001D2895">
            <w:pPr>
              <w:jc w:val="center"/>
            </w:pPr>
            <w:r>
              <w:t>11-</w:t>
            </w:r>
            <w:r w:rsidR="00FA6309">
              <w:t>1-18</w:t>
            </w:r>
          </w:p>
        </w:tc>
        <w:tc>
          <w:tcPr>
            <w:tcW w:w="3330" w:type="dxa"/>
          </w:tcPr>
          <w:p w14:paraId="76F6044A" w14:textId="77777777" w:rsidR="006710D0" w:rsidRDefault="006710D0" w:rsidP="00AE2200">
            <w:r>
              <w:t>Violence</w:t>
            </w:r>
          </w:p>
          <w:p w14:paraId="4431C2F8" w14:textId="570F956D" w:rsidR="00D36AB0" w:rsidRDefault="00D36AB0" w:rsidP="00AE2200">
            <w:r>
              <w:rPr>
                <w:color w:val="FF0000"/>
              </w:rPr>
              <w:t>Doing the Best I Can Analysis Paper Due</w:t>
            </w:r>
          </w:p>
        </w:tc>
        <w:tc>
          <w:tcPr>
            <w:tcW w:w="3955" w:type="dxa"/>
          </w:tcPr>
          <w:p w14:paraId="44117DB5" w14:textId="54A9AF8A" w:rsidR="006710D0" w:rsidRDefault="006710D0" w:rsidP="00AE2200">
            <w:r>
              <w:t>CH 7, Hanson &amp; Lynch Family Life at Risk: Pressure from Outside &amp; Turmoil Within</w:t>
            </w:r>
          </w:p>
        </w:tc>
      </w:tr>
      <w:tr w:rsidR="006710D0" w14:paraId="04D51A55" w14:textId="77777777" w:rsidTr="00651776">
        <w:tc>
          <w:tcPr>
            <w:tcW w:w="959" w:type="dxa"/>
          </w:tcPr>
          <w:p w14:paraId="22A59DE7" w14:textId="51CE1F76" w:rsidR="006710D0" w:rsidRPr="00D61E83" w:rsidRDefault="006710D0" w:rsidP="00A51730">
            <w:pPr>
              <w:jc w:val="center"/>
              <w:rPr>
                <w:b/>
              </w:rPr>
            </w:pPr>
            <w:r w:rsidRPr="00D61E83">
              <w:rPr>
                <w:b/>
              </w:rPr>
              <w:t>11</w:t>
            </w:r>
          </w:p>
        </w:tc>
        <w:tc>
          <w:tcPr>
            <w:tcW w:w="1106" w:type="dxa"/>
          </w:tcPr>
          <w:p w14:paraId="0707A2DC" w14:textId="7B0B9F24" w:rsidR="006710D0" w:rsidRPr="00D61E83" w:rsidRDefault="006710D0" w:rsidP="001D2895">
            <w:pPr>
              <w:jc w:val="center"/>
            </w:pPr>
            <w:r w:rsidRPr="00D61E83">
              <w:t>11-</w:t>
            </w:r>
            <w:r w:rsidR="00FA6309" w:rsidRPr="00D61E83">
              <w:t>8-18</w:t>
            </w:r>
          </w:p>
        </w:tc>
        <w:tc>
          <w:tcPr>
            <w:tcW w:w="3330" w:type="dxa"/>
          </w:tcPr>
          <w:p w14:paraId="4AFF78CF" w14:textId="0CC01249" w:rsidR="006710D0" w:rsidRPr="00D61E83" w:rsidRDefault="006710D0" w:rsidP="00AE2200">
            <w:r w:rsidRPr="00D61E83">
              <w:t>Families and Disabilities</w:t>
            </w:r>
          </w:p>
        </w:tc>
        <w:tc>
          <w:tcPr>
            <w:tcW w:w="3955" w:type="dxa"/>
          </w:tcPr>
          <w:p w14:paraId="3F8A2322" w14:textId="77777777" w:rsidR="006710D0" w:rsidRPr="00D61E83" w:rsidRDefault="006710D0" w:rsidP="003D2AE6">
            <w:r w:rsidRPr="00D61E83">
              <w:t>CH 5, Hanson &amp; Lynch Families with Children with Disabilities</w:t>
            </w:r>
          </w:p>
          <w:p w14:paraId="45CA8174" w14:textId="31729410" w:rsidR="006710D0" w:rsidRPr="00D61E83" w:rsidRDefault="006710D0" w:rsidP="00AE2200">
            <w:r w:rsidRPr="00D61E83">
              <w:t>CH 8, Hanson &amp; Lynch Infant /Family and Early Childhood Mental Health</w:t>
            </w:r>
            <w:bookmarkStart w:id="0" w:name="_GoBack"/>
            <w:bookmarkEnd w:id="0"/>
          </w:p>
        </w:tc>
      </w:tr>
      <w:tr w:rsidR="006710D0" w14:paraId="6B8CB520" w14:textId="77777777" w:rsidTr="00651776">
        <w:tc>
          <w:tcPr>
            <w:tcW w:w="959" w:type="dxa"/>
          </w:tcPr>
          <w:p w14:paraId="1DDEDF62" w14:textId="6B99D55F" w:rsidR="006710D0" w:rsidRPr="001D2895" w:rsidRDefault="006710D0" w:rsidP="00A51730">
            <w:pPr>
              <w:jc w:val="center"/>
              <w:rPr>
                <w:b/>
              </w:rPr>
            </w:pPr>
            <w:r w:rsidRPr="001D2895">
              <w:rPr>
                <w:b/>
              </w:rPr>
              <w:t>12</w:t>
            </w:r>
          </w:p>
        </w:tc>
        <w:tc>
          <w:tcPr>
            <w:tcW w:w="1106" w:type="dxa"/>
          </w:tcPr>
          <w:p w14:paraId="7E5FE486" w14:textId="47ADA58D" w:rsidR="006710D0" w:rsidRDefault="006710D0" w:rsidP="001D2895">
            <w:pPr>
              <w:jc w:val="center"/>
            </w:pPr>
            <w:r>
              <w:t>11-1</w:t>
            </w:r>
            <w:r w:rsidR="00FA6309">
              <w:t>5-18</w:t>
            </w:r>
          </w:p>
        </w:tc>
        <w:tc>
          <w:tcPr>
            <w:tcW w:w="3330" w:type="dxa"/>
          </w:tcPr>
          <w:p w14:paraId="2A75E8A6" w14:textId="77777777" w:rsidR="006710D0" w:rsidRDefault="006710D0" w:rsidP="00AE2200">
            <w:r>
              <w:t>NDEHS Case studies</w:t>
            </w:r>
          </w:p>
          <w:p w14:paraId="2CF112D9" w14:textId="77777777" w:rsidR="00F22B40" w:rsidRDefault="00F22B40" w:rsidP="00F22B40">
            <w:pPr>
              <w:rPr>
                <w:color w:val="FF0000"/>
              </w:rPr>
            </w:pPr>
            <w:r w:rsidRPr="00BB4DEB">
              <w:rPr>
                <w:color w:val="FF0000"/>
              </w:rPr>
              <w:lastRenderedPageBreak/>
              <w:t>Midterm Exam 2</w:t>
            </w:r>
          </w:p>
          <w:p w14:paraId="3FCEEAFB" w14:textId="66B6F0B5" w:rsidR="00BB4DEB" w:rsidRDefault="00BB4DEB" w:rsidP="00F22B40">
            <w:r>
              <w:rPr>
                <w:color w:val="FF0000"/>
              </w:rPr>
              <w:t>NDEHS Field Experience Paper Due</w:t>
            </w:r>
          </w:p>
        </w:tc>
        <w:tc>
          <w:tcPr>
            <w:tcW w:w="3955" w:type="dxa"/>
          </w:tcPr>
          <w:p w14:paraId="461861F3" w14:textId="77777777" w:rsidR="006710D0" w:rsidRDefault="006710D0" w:rsidP="00AE2200"/>
          <w:p w14:paraId="0019743B" w14:textId="348DE509" w:rsidR="00F22B40" w:rsidRDefault="00F22B40" w:rsidP="00AE2200">
            <w:r>
              <w:lastRenderedPageBreak/>
              <w:t>Application of course constructs to case studies</w:t>
            </w:r>
          </w:p>
        </w:tc>
      </w:tr>
      <w:tr w:rsidR="00FA6309" w14:paraId="0AA01F42" w14:textId="77777777" w:rsidTr="00651776">
        <w:tc>
          <w:tcPr>
            <w:tcW w:w="959" w:type="dxa"/>
          </w:tcPr>
          <w:p w14:paraId="17B7D083" w14:textId="77777777" w:rsidR="00FA6309" w:rsidRPr="001D2895" w:rsidRDefault="00FA6309" w:rsidP="00A51730">
            <w:pPr>
              <w:jc w:val="center"/>
              <w:rPr>
                <w:b/>
              </w:rPr>
            </w:pPr>
          </w:p>
        </w:tc>
        <w:tc>
          <w:tcPr>
            <w:tcW w:w="1106" w:type="dxa"/>
          </w:tcPr>
          <w:p w14:paraId="01C6DD6D" w14:textId="77777777" w:rsidR="00FA6309" w:rsidRDefault="00FA6309" w:rsidP="001D2895">
            <w:pPr>
              <w:jc w:val="center"/>
            </w:pPr>
          </w:p>
        </w:tc>
        <w:tc>
          <w:tcPr>
            <w:tcW w:w="3330" w:type="dxa"/>
          </w:tcPr>
          <w:p w14:paraId="45295C0A" w14:textId="3BDBD13D" w:rsidR="00FA6309" w:rsidRDefault="00FA6309" w:rsidP="00AE2200">
            <w:r>
              <w:t>THANKSGIVING BREAK</w:t>
            </w:r>
          </w:p>
        </w:tc>
        <w:tc>
          <w:tcPr>
            <w:tcW w:w="3955" w:type="dxa"/>
          </w:tcPr>
          <w:p w14:paraId="5EBCC360" w14:textId="77777777" w:rsidR="00FA6309" w:rsidRDefault="00FA6309" w:rsidP="00AE2200"/>
        </w:tc>
      </w:tr>
      <w:tr w:rsidR="006710D0" w14:paraId="2CAA5FB1" w14:textId="77777777" w:rsidTr="00651776">
        <w:tc>
          <w:tcPr>
            <w:tcW w:w="959" w:type="dxa"/>
          </w:tcPr>
          <w:p w14:paraId="6568D285" w14:textId="44B82F23" w:rsidR="006710D0" w:rsidRPr="001D2895" w:rsidRDefault="006710D0" w:rsidP="00A51730">
            <w:pPr>
              <w:jc w:val="center"/>
              <w:rPr>
                <w:b/>
              </w:rPr>
            </w:pPr>
            <w:r w:rsidRPr="001D2895">
              <w:rPr>
                <w:b/>
              </w:rPr>
              <w:t>13</w:t>
            </w:r>
          </w:p>
        </w:tc>
        <w:tc>
          <w:tcPr>
            <w:tcW w:w="1106" w:type="dxa"/>
          </w:tcPr>
          <w:p w14:paraId="100D8796" w14:textId="77ADEAFA" w:rsidR="006710D0" w:rsidRDefault="006710D0" w:rsidP="001D2895">
            <w:pPr>
              <w:jc w:val="center"/>
            </w:pPr>
            <w:r>
              <w:t>11-</w:t>
            </w:r>
            <w:r w:rsidR="00FA6309">
              <w:t>29-18</w:t>
            </w:r>
          </w:p>
        </w:tc>
        <w:tc>
          <w:tcPr>
            <w:tcW w:w="3330" w:type="dxa"/>
          </w:tcPr>
          <w:p w14:paraId="2B4D32B3" w14:textId="6652F560" w:rsidR="006710D0" w:rsidRPr="00BB4DEB" w:rsidRDefault="00F22B40" w:rsidP="00AE2200">
            <w:pPr>
              <w:rPr>
                <w:color w:val="FF0000"/>
              </w:rPr>
            </w:pPr>
            <w:r w:rsidRPr="00BB4DEB">
              <w:rPr>
                <w:color w:val="FF0000"/>
              </w:rPr>
              <w:t xml:space="preserve">Student </w:t>
            </w:r>
            <w:r w:rsidR="006710D0" w:rsidRPr="00BB4DEB">
              <w:rPr>
                <w:color w:val="FF0000"/>
              </w:rPr>
              <w:t>Presentations</w:t>
            </w:r>
          </w:p>
          <w:p w14:paraId="72174973" w14:textId="6F696A41" w:rsidR="003F76D5" w:rsidRDefault="003F76D5" w:rsidP="00AE2200"/>
        </w:tc>
        <w:tc>
          <w:tcPr>
            <w:tcW w:w="3955" w:type="dxa"/>
          </w:tcPr>
          <w:p w14:paraId="0269B751" w14:textId="42986036" w:rsidR="006710D0" w:rsidRDefault="00F22B40" w:rsidP="00AE2200">
            <w:r>
              <w:t>Topical analyses of children and families at risk</w:t>
            </w:r>
          </w:p>
        </w:tc>
      </w:tr>
      <w:tr w:rsidR="006710D0" w14:paraId="78C0E59D" w14:textId="77777777" w:rsidTr="00651776">
        <w:tc>
          <w:tcPr>
            <w:tcW w:w="959" w:type="dxa"/>
          </w:tcPr>
          <w:p w14:paraId="07E4ED76" w14:textId="61AE1BB2" w:rsidR="006710D0" w:rsidRPr="001D2895" w:rsidRDefault="006710D0" w:rsidP="00A51730">
            <w:pPr>
              <w:jc w:val="center"/>
              <w:rPr>
                <w:b/>
              </w:rPr>
            </w:pPr>
            <w:r w:rsidRPr="001D2895">
              <w:rPr>
                <w:b/>
              </w:rPr>
              <w:t>14</w:t>
            </w:r>
          </w:p>
        </w:tc>
        <w:tc>
          <w:tcPr>
            <w:tcW w:w="1106" w:type="dxa"/>
          </w:tcPr>
          <w:p w14:paraId="1F25C4CC" w14:textId="6C0FCBA1" w:rsidR="006710D0" w:rsidRDefault="006710D0" w:rsidP="001D2895">
            <w:pPr>
              <w:jc w:val="center"/>
            </w:pPr>
            <w:r>
              <w:t>12-</w:t>
            </w:r>
            <w:r w:rsidR="00FA6309">
              <w:t>6-18</w:t>
            </w:r>
          </w:p>
        </w:tc>
        <w:tc>
          <w:tcPr>
            <w:tcW w:w="3330" w:type="dxa"/>
          </w:tcPr>
          <w:p w14:paraId="06FB9922" w14:textId="179C5804" w:rsidR="006710D0" w:rsidRDefault="00F22B40" w:rsidP="00AE2200">
            <w:r w:rsidRPr="00BB4DEB">
              <w:rPr>
                <w:color w:val="FF0000"/>
              </w:rPr>
              <w:t xml:space="preserve">Student </w:t>
            </w:r>
            <w:r w:rsidR="006710D0" w:rsidRPr="00BB4DEB">
              <w:rPr>
                <w:color w:val="FF0000"/>
              </w:rPr>
              <w:t>Presentations</w:t>
            </w:r>
          </w:p>
        </w:tc>
        <w:tc>
          <w:tcPr>
            <w:tcW w:w="3955" w:type="dxa"/>
          </w:tcPr>
          <w:p w14:paraId="7D2E6AB7" w14:textId="58F0C59A" w:rsidR="006710D0" w:rsidRDefault="00F22B40" w:rsidP="00AE2200">
            <w:r>
              <w:t>Topical analyses of children and families at risk</w:t>
            </w:r>
          </w:p>
        </w:tc>
      </w:tr>
      <w:tr w:rsidR="00D6784A" w14:paraId="3E18D35E" w14:textId="77777777" w:rsidTr="00651776">
        <w:tc>
          <w:tcPr>
            <w:tcW w:w="959" w:type="dxa"/>
          </w:tcPr>
          <w:p w14:paraId="7F5E4809" w14:textId="23B41F39" w:rsidR="00D6784A" w:rsidRPr="001D2895" w:rsidRDefault="00D6784A" w:rsidP="00A51730">
            <w:pPr>
              <w:jc w:val="center"/>
              <w:rPr>
                <w:b/>
              </w:rPr>
            </w:pPr>
          </w:p>
        </w:tc>
        <w:tc>
          <w:tcPr>
            <w:tcW w:w="1106" w:type="dxa"/>
          </w:tcPr>
          <w:p w14:paraId="1B35B10C" w14:textId="74767473" w:rsidR="00D6784A" w:rsidRDefault="00D6784A" w:rsidP="001D2895">
            <w:pPr>
              <w:jc w:val="center"/>
            </w:pPr>
          </w:p>
        </w:tc>
        <w:tc>
          <w:tcPr>
            <w:tcW w:w="3330" w:type="dxa"/>
          </w:tcPr>
          <w:p w14:paraId="75D5DA52" w14:textId="77777777" w:rsidR="00D6784A" w:rsidRDefault="00D6784A" w:rsidP="00AE2200"/>
        </w:tc>
        <w:tc>
          <w:tcPr>
            <w:tcW w:w="3955" w:type="dxa"/>
          </w:tcPr>
          <w:p w14:paraId="28256823" w14:textId="77777777" w:rsidR="00D6784A" w:rsidRDefault="00D6784A" w:rsidP="00AE2200"/>
        </w:tc>
      </w:tr>
      <w:tr w:rsidR="00D6784A" w14:paraId="6F28B3AF" w14:textId="77777777" w:rsidTr="00651776">
        <w:tc>
          <w:tcPr>
            <w:tcW w:w="959" w:type="dxa"/>
          </w:tcPr>
          <w:p w14:paraId="662F7FE4" w14:textId="4053F6F5" w:rsidR="00D6784A" w:rsidRPr="001D2895" w:rsidRDefault="00D6784A" w:rsidP="00A51730">
            <w:pPr>
              <w:jc w:val="center"/>
              <w:rPr>
                <w:b/>
              </w:rPr>
            </w:pPr>
          </w:p>
        </w:tc>
        <w:tc>
          <w:tcPr>
            <w:tcW w:w="1106" w:type="dxa"/>
          </w:tcPr>
          <w:p w14:paraId="59719005" w14:textId="5EFE8B36" w:rsidR="00D6784A" w:rsidRDefault="00D6784A" w:rsidP="001D2895">
            <w:pPr>
              <w:jc w:val="center"/>
            </w:pPr>
          </w:p>
        </w:tc>
        <w:tc>
          <w:tcPr>
            <w:tcW w:w="3330" w:type="dxa"/>
          </w:tcPr>
          <w:p w14:paraId="74AEE59B" w14:textId="77777777" w:rsidR="00D6784A" w:rsidRDefault="00D6784A" w:rsidP="00AE2200"/>
        </w:tc>
        <w:tc>
          <w:tcPr>
            <w:tcW w:w="3955" w:type="dxa"/>
          </w:tcPr>
          <w:p w14:paraId="74AB6AAF" w14:textId="77777777" w:rsidR="00D6784A" w:rsidRDefault="00D6784A" w:rsidP="00AE2200"/>
        </w:tc>
      </w:tr>
    </w:tbl>
    <w:p w14:paraId="6F532D80" w14:textId="77777777" w:rsidR="002104AD" w:rsidRPr="005733C3" w:rsidRDefault="002104AD" w:rsidP="00AE2200"/>
    <w:sectPr w:rsidR="002104AD" w:rsidRPr="005733C3" w:rsidSect="00170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FFC"/>
    <w:multiLevelType w:val="hybridMultilevel"/>
    <w:tmpl w:val="9DE0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30DD8"/>
    <w:multiLevelType w:val="hybridMultilevel"/>
    <w:tmpl w:val="25663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511B2"/>
    <w:multiLevelType w:val="hybridMultilevel"/>
    <w:tmpl w:val="14602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00"/>
    <w:rsid w:val="00040837"/>
    <w:rsid w:val="00066463"/>
    <w:rsid w:val="000A7F3E"/>
    <w:rsid w:val="00131DDE"/>
    <w:rsid w:val="001700A8"/>
    <w:rsid w:val="001D2895"/>
    <w:rsid w:val="002104AD"/>
    <w:rsid w:val="002307F7"/>
    <w:rsid w:val="002C0A08"/>
    <w:rsid w:val="002D6164"/>
    <w:rsid w:val="002E4C3C"/>
    <w:rsid w:val="003063E8"/>
    <w:rsid w:val="00312D24"/>
    <w:rsid w:val="003832A9"/>
    <w:rsid w:val="003E35DC"/>
    <w:rsid w:val="003F76D5"/>
    <w:rsid w:val="0040002E"/>
    <w:rsid w:val="0049247F"/>
    <w:rsid w:val="005733C3"/>
    <w:rsid w:val="005F5013"/>
    <w:rsid w:val="00651776"/>
    <w:rsid w:val="00664AD2"/>
    <w:rsid w:val="006710D0"/>
    <w:rsid w:val="00683D1D"/>
    <w:rsid w:val="007250CF"/>
    <w:rsid w:val="00766AEC"/>
    <w:rsid w:val="0078735F"/>
    <w:rsid w:val="007944ED"/>
    <w:rsid w:val="007C5BDA"/>
    <w:rsid w:val="007D3FA2"/>
    <w:rsid w:val="00825674"/>
    <w:rsid w:val="0085329F"/>
    <w:rsid w:val="00881B37"/>
    <w:rsid w:val="008F262F"/>
    <w:rsid w:val="00991DC8"/>
    <w:rsid w:val="00A12944"/>
    <w:rsid w:val="00A51730"/>
    <w:rsid w:val="00A93DF4"/>
    <w:rsid w:val="00AE2200"/>
    <w:rsid w:val="00AF08BB"/>
    <w:rsid w:val="00B0587E"/>
    <w:rsid w:val="00B514E8"/>
    <w:rsid w:val="00BB4DEB"/>
    <w:rsid w:val="00C06ED5"/>
    <w:rsid w:val="00CF69B7"/>
    <w:rsid w:val="00CF7D42"/>
    <w:rsid w:val="00D36AB0"/>
    <w:rsid w:val="00D4596E"/>
    <w:rsid w:val="00D47B4B"/>
    <w:rsid w:val="00D61E83"/>
    <w:rsid w:val="00D62BD5"/>
    <w:rsid w:val="00D6784A"/>
    <w:rsid w:val="00D9354E"/>
    <w:rsid w:val="00DE53BF"/>
    <w:rsid w:val="00E17132"/>
    <w:rsid w:val="00E50666"/>
    <w:rsid w:val="00EC4F2F"/>
    <w:rsid w:val="00F22B40"/>
    <w:rsid w:val="00FA05BF"/>
    <w:rsid w:val="00FA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97B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2200"/>
    <w:rPr>
      <w:color w:val="0000FF"/>
      <w:u w:val="single"/>
    </w:rPr>
  </w:style>
  <w:style w:type="character" w:customStyle="1" w:styleId="pslongeditbox">
    <w:name w:val="pslongeditbox"/>
    <w:basedOn w:val="DefaultParagraphFont"/>
    <w:rsid w:val="007944ED"/>
  </w:style>
  <w:style w:type="paragraph" w:styleId="ListParagraph">
    <w:name w:val="List Paragraph"/>
    <w:basedOn w:val="Normal"/>
    <w:uiPriority w:val="34"/>
    <w:qFormat/>
    <w:rsid w:val="0078735F"/>
    <w:pPr>
      <w:ind w:left="720"/>
      <w:contextualSpacing/>
    </w:pPr>
  </w:style>
  <w:style w:type="table" w:styleId="TableGrid">
    <w:name w:val="Table Grid"/>
    <w:basedOn w:val="TableNormal"/>
    <w:uiPriority w:val="39"/>
    <w:rsid w:val="00210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57664">
      <w:bodyDiv w:val="1"/>
      <w:marLeft w:val="0"/>
      <w:marRight w:val="0"/>
      <w:marTop w:val="0"/>
      <w:marBottom w:val="0"/>
      <w:divBdr>
        <w:top w:val="none" w:sz="0" w:space="0" w:color="auto"/>
        <w:left w:val="none" w:sz="0" w:space="0" w:color="auto"/>
        <w:bottom w:val="none" w:sz="0" w:space="0" w:color="auto"/>
        <w:right w:val="none" w:sz="0" w:space="0" w:color="auto"/>
      </w:divBdr>
      <w:divsChild>
        <w:div w:id="1646079215">
          <w:marLeft w:val="0"/>
          <w:marRight w:val="0"/>
          <w:marTop w:val="0"/>
          <w:marBottom w:val="0"/>
          <w:divBdr>
            <w:top w:val="none" w:sz="0" w:space="0" w:color="auto"/>
            <w:left w:val="none" w:sz="0" w:space="0" w:color="auto"/>
            <w:bottom w:val="none" w:sz="0" w:space="0" w:color="auto"/>
            <w:right w:val="none" w:sz="0" w:space="0" w:color="auto"/>
          </w:divBdr>
        </w:div>
      </w:divsChild>
    </w:div>
    <w:div w:id="1227254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p@UDE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 Palkovitz</cp:lastModifiedBy>
  <cp:revision>8</cp:revision>
  <cp:lastPrinted>2017-09-06T20:08:00Z</cp:lastPrinted>
  <dcterms:created xsi:type="dcterms:W3CDTF">2018-08-20T02:58:00Z</dcterms:created>
  <dcterms:modified xsi:type="dcterms:W3CDTF">2018-08-25T13:29:00Z</dcterms:modified>
</cp:coreProperties>
</file>