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DD58" w14:textId="0911B4A6" w:rsidR="00A3262B" w:rsidRPr="003124F6" w:rsidRDefault="00992EBB" w:rsidP="00D9323E">
      <w:pPr>
        <w:jc w:val="center"/>
        <w:rPr>
          <w:b/>
          <w:bCs/>
          <w:caps/>
          <w:color w:val="000000" w:themeColor="text1"/>
          <w:sz w:val="24"/>
          <w:szCs w:val="24"/>
        </w:rPr>
      </w:pPr>
      <w:r w:rsidRPr="003124F6">
        <w:rPr>
          <w:b/>
          <w:bCs/>
          <w:caps/>
          <w:color w:val="000000" w:themeColor="text1"/>
          <w:sz w:val="24"/>
          <w:szCs w:val="24"/>
        </w:rPr>
        <w:t xml:space="preserve">Key Concepts in </w:t>
      </w:r>
      <w:r w:rsidR="00A3262B" w:rsidRPr="003124F6">
        <w:rPr>
          <w:b/>
          <w:bCs/>
          <w:caps/>
          <w:color w:val="000000" w:themeColor="text1"/>
          <w:sz w:val="24"/>
          <w:szCs w:val="24"/>
        </w:rPr>
        <w:t>Community Engaged Scholarship for Health</w:t>
      </w:r>
    </w:p>
    <w:p w14:paraId="6A5BA077" w14:textId="77777777" w:rsidR="001C5856" w:rsidRDefault="001C5856" w:rsidP="00AA4D3A">
      <w:pPr>
        <w:spacing w:after="120"/>
        <w:rPr>
          <w:b/>
          <w:bCs/>
          <w:smallCaps/>
          <w:color w:val="000000" w:themeColor="text1"/>
          <w:sz w:val="24"/>
          <w:szCs w:val="24"/>
        </w:rPr>
      </w:pPr>
    </w:p>
    <w:p w14:paraId="3DD78A21" w14:textId="219EF64D" w:rsidR="007C37AC" w:rsidRPr="003124F6" w:rsidRDefault="00992EBB" w:rsidP="00AA4D3A">
      <w:pPr>
        <w:spacing w:after="120"/>
        <w:rPr>
          <w:b/>
          <w:bCs/>
          <w:smallCaps/>
          <w:color w:val="000000" w:themeColor="text1"/>
          <w:sz w:val="24"/>
          <w:szCs w:val="24"/>
        </w:rPr>
      </w:pPr>
      <w:r w:rsidRPr="003124F6">
        <w:rPr>
          <w:b/>
          <w:bCs/>
          <w:smallCaps/>
          <w:color w:val="000000" w:themeColor="text1"/>
          <w:sz w:val="24"/>
          <w:szCs w:val="24"/>
        </w:rPr>
        <w:t>Introduction</w:t>
      </w:r>
    </w:p>
    <w:p w14:paraId="4B5AF805" w14:textId="4F125DEE" w:rsidR="00A3262B" w:rsidRPr="003124F6" w:rsidRDefault="00EC752D" w:rsidP="00AA4D3A">
      <w:pPr>
        <w:spacing w:after="120"/>
        <w:rPr>
          <w:color w:val="000000" w:themeColor="text1"/>
        </w:rPr>
      </w:pPr>
      <w:r w:rsidRPr="003124F6">
        <w:rPr>
          <w:color w:val="000000" w:themeColor="text1"/>
        </w:rPr>
        <w:t>The UD Partnership for Healthy Communities</w:t>
      </w:r>
      <w:r w:rsidR="009247F1" w:rsidRPr="003124F6">
        <w:rPr>
          <w:color w:val="000000" w:themeColor="text1"/>
        </w:rPr>
        <w:t xml:space="preserve"> envisions </w:t>
      </w:r>
      <w:r w:rsidR="0084435E" w:rsidRPr="003124F6">
        <w:rPr>
          <w:color w:val="000000" w:themeColor="text1"/>
        </w:rPr>
        <w:t>health</w:t>
      </w:r>
      <w:r w:rsidR="00536C0D" w:rsidRPr="003124F6">
        <w:rPr>
          <w:color w:val="000000" w:themeColor="text1"/>
        </w:rPr>
        <w:t>y</w:t>
      </w:r>
      <w:r w:rsidR="0084435E" w:rsidRPr="003124F6">
        <w:rPr>
          <w:color w:val="000000" w:themeColor="text1"/>
        </w:rPr>
        <w:t>, thriving communities for everyone in Delaware and beyond</w:t>
      </w:r>
      <w:r w:rsidR="00723578">
        <w:rPr>
          <w:color w:val="000000" w:themeColor="text1"/>
        </w:rPr>
        <w:t xml:space="preserve">, with a particular focus on communities that experience </w:t>
      </w:r>
      <w:r w:rsidR="004623A2">
        <w:rPr>
          <w:color w:val="000000" w:themeColor="text1"/>
        </w:rPr>
        <w:t xml:space="preserve">health </w:t>
      </w:r>
      <w:r w:rsidR="00723578">
        <w:rPr>
          <w:color w:val="000000" w:themeColor="text1"/>
        </w:rPr>
        <w:t>inequities</w:t>
      </w:r>
      <w:r w:rsidR="0084435E" w:rsidRPr="003124F6">
        <w:rPr>
          <w:color w:val="000000" w:themeColor="text1"/>
        </w:rPr>
        <w:t>. We wo</w:t>
      </w:r>
      <w:r w:rsidR="00B90792" w:rsidRPr="003124F6">
        <w:rPr>
          <w:color w:val="000000" w:themeColor="text1"/>
        </w:rPr>
        <w:t xml:space="preserve">rk to advance this vision by </w:t>
      </w:r>
      <w:r w:rsidR="0073282B" w:rsidRPr="003124F6">
        <w:rPr>
          <w:color w:val="000000" w:themeColor="text1"/>
        </w:rPr>
        <w:t xml:space="preserve">strengthening the </w:t>
      </w:r>
      <w:r w:rsidR="00B00CCF" w:rsidRPr="003124F6">
        <w:rPr>
          <w:color w:val="000000" w:themeColor="text1"/>
        </w:rPr>
        <w:t>University’s capacity for community engaged scholarship</w:t>
      </w:r>
      <w:r w:rsidR="004F02D2" w:rsidRPr="003124F6">
        <w:rPr>
          <w:color w:val="000000" w:themeColor="text1"/>
        </w:rPr>
        <w:t xml:space="preserve">. </w:t>
      </w:r>
      <w:r w:rsidR="00373759" w:rsidRPr="003124F6">
        <w:rPr>
          <w:color w:val="000000" w:themeColor="text1"/>
        </w:rPr>
        <w:t xml:space="preserve">We </w:t>
      </w:r>
      <w:r w:rsidR="00A3262B" w:rsidRPr="003124F6">
        <w:rPr>
          <w:color w:val="000000" w:themeColor="text1"/>
        </w:rPr>
        <w:t xml:space="preserve">define community-engaged scholarship for health as: </w:t>
      </w:r>
    </w:p>
    <w:p w14:paraId="164848A7" w14:textId="6C2F0142" w:rsidR="00A3262B" w:rsidRPr="003124F6" w:rsidRDefault="00A3262B" w:rsidP="00AA4D3A">
      <w:pPr>
        <w:spacing w:after="120"/>
        <w:ind w:left="720"/>
        <w:rPr>
          <w:rFonts w:cstheme="minorHAnsi"/>
          <w:color w:val="000000" w:themeColor="text1"/>
        </w:rPr>
      </w:pPr>
      <w:r w:rsidRPr="003124F6">
        <w:rPr>
          <w:i/>
          <w:iCs/>
          <w:color w:val="000000" w:themeColor="text1"/>
        </w:rPr>
        <w:t xml:space="preserve">The generation and application of knowledge through the synergistic activities of teaching, research and service in authentic partnership with a variety of community stakeholders, eliminating traditional hierarchies and one-way flows of knowledge outward from the University; it prioritizes interdisciplinary collaboration and mutually beneficial, sustainable partnerships which enhance the capacities of the university and its community partners to address critical </w:t>
      </w:r>
      <w:r w:rsidRPr="003124F6">
        <w:rPr>
          <w:rFonts w:cstheme="minorHAnsi"/>
          <w:i/>
          <w:iCs/>
          <w:color w:val="000000" w:themeColor="text1"/>
        </w:rPr>
        <w:t>health needs</w:t>
      </w:r>
      <w:r w:rsidR="00DF170F" w:rsidRPr="003124F6">
        <w:rPr>
          <w:rFonts w:cstheme="minorHAnsi"/>
          <w:color w:val="000000" w:themeColor="text1"/>
        </w:rPr>
        <w:t>.</w:t>
      </w:r>
    </w:p>
    <w:p w14:paraId="6250423A" w14:textId="77777777" w:rsidR="00AA4D3A" w:rsidRPr="003124F6" w:rsidRDefault="00AA4D3A" w:rsidP="00AA4D3A">
      <w:pPr>
        <w:spacing w:after="120"/>
        <w:ind w:left="720"/>
        <w:rPr>
          <w:rFonts w:cstheme="minorHAnsi"/>
          <w:color w:val="000000" w:themeColor="text1"/>
        </w:rPr>
      </w:pPr>
    </w:p>
    <w:p w14:paraId="0560655F" w14:textId="4F601F57" w:rsidR="00A3262B" w:rsidRPr="003124F6" w:rsidRDefault="00A3262B" w:rsidP="00AA4D3A">
      <w:pPr>
        <w:spacing w:after="120"/>
        <w:rPr>
          <w:rFonts w:cstheme="minorHAnsi"/>
          <w:b/>
          <w:bCs/>
          <w:i/>
          <w:iCs/>
          <w:color w:val="000000" w:themeColor="text1"/>
        </w:rPr>
      </w:pPr>
      <w:r w:rsidRPr="003124F6">
        <w:rPr>
          <w:rFonts w:cstheme="minorHAnsi"/>
          <w:b/>
          <w:bCs/>
          <w:i/>
          <w:iCs/>
          <w:color w:val="000000" w:themeColor="text1"/>
        </w:rPr>
        <w:t>Research</w:t>
      </w:r>
    </w:p>
    <w:p w14:paraId="02DF3CBA" w14:textId="1AF0F35F" w:rsidR="002C0A89" w:rsidRPr="003124F6" w:rsidRDefault="00A3262B" w:rsidP="00AA4D3A">
      <w:pPr>
        <w:spacing w:after="120"/>
        <w:rPr>
          <w:rFonts w:cstheme="minorHAnsi"/>
          <w:color w:val="000000" w:themeColor="text1"/>
        </w:rPr>
      </w:pPr>
      <w:r w:rsidRPr="003124F6">
        <w:rPr>
          <w:rFonts w:cstheme="minorHAnsi"/>
          <w:color w:val="000000" w:themeColor="text1"/>
        </w:rPr>
        <w:t xml:space="preserve">Community engaged research </w:t>
      </w:r>
      <w:r w:rsidR="002C0A89" w:rsidRPr="003124F6">
        <w:rPr>
          <w:rFonts w:cstheme="minorHAnsi"/>
          <w:color w:val="000000" w:themeColor="text1"/>
        </w:rPr>
        <w:t>is characterized by the discovery or creation of new knowledge or insights</w:t>
      </w:r>
      <w:r w:rsidR="00D37B5A" w:rsidRPr="003124F6">
        <w:rPr>
          <w:rFonts w:cstheme="minorHAnsi"/>
          <w:color w:val="000000" w:themeColor="text1"/>
        </w:rPr>
        <w:t xml:space="preserve"> in collaboration with community partners</w:t>
      </w:r>
      <w:r w:rsidR="00E12906" w:rsidRPr="003124F6">
        <w:rPr>
          <w:rFonts w:cstheme="minorHAnsi"/>
          <w:color w:val="000000" w:themeColor="text1"/>
        </w:rPr>
        <w:t xml:space="preserve"> and/or to address </w:t>
      </w:r>
      <w:r w:rsidR="002A02E5" w:rsidRPr="003124F6">
        <w:rPr>
          <w:rFonts w:cstheme="minorHAnsi"/>
          <w:color w:val="000000" w:themeColor="text1"/>
        </w:rPr>
        <w:t>community needs</w:t>
      </w:r>
      <w:r w:rsidR="00D37B5A" w:rsidRPr="003124F6">
        <w:rPr>
          <w:rFonts w:cstheme="minorHAnsi"/>
          <w:color w:val="000000" w:themeColor="text1"/>
        </w:rPr>
        <w:t>. Examples of community engaged research include but are not limited to</w:t>
      </w:r>
      <w:r w:rsidR="003124F6">
        <w:rPr>
          <w:rFonts w:cstheme="minorHAnsi"/>
          <w:color w:val="000000" w:themeColor="text1"/>
        </w:rPr>
        <w:t xml:space="preserve"> (MSU, n.d.)</w:t>
      </w:r>
      <w:r w:rsidR="00D37B5A" w:rsidRPr="003124F6">
        <w:rPr>
          <w:rFonts w:cstheme="minorHAnsi"/>
          <w:color w:val="000000" w:themeColor="text1"/>
        </w:rPr>
        <w:t>:</w:t>
      </w:r>
    </w:p>
    <w:p w14:paraId="54A9CBA9" w14:textId="6DC9F5C7" w:rsidR="00A3262B" w:rsidRPr="003124F6" w:rsidRDefault="00A3262B" w:rsidP="00AA4D3A">
      <w:pPr>
        <w:numPr>
          <w:ilvl w:val="0"/>
          <w:numId w:val="1"/>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Community-based participatory research (CBPR) or participatory action research (PAR)</w:t>
      </w:r>
    </w:p>
    <w:p w14:paraId="10F6FC1F" w14:textId="24E0C22E" w:rsidR="00A3262B" w:rsidRPr="003124F6" w:rsidRDefault="00A3262B" w:rsidP="00AA4D3A">
      <w:pPr>
        <w:numPr>
          <w:ilvl w:val="0"/>
          <w:numId w:val="1"/>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Applied research or translational research</w:t>
      </w:r>
    </w:p>
    <w:p w14:paraId="6E32F00D" w14:textId="368D5950" w:rsidR="00A3262B" w:rsidRPr="003124F6" w:rsidRDefault="00A3262B" w:rsidP="00AA4D3A">
      <w:pPr>
        <w:numPr>
          <w:ilvl w:val="0"/>
          <w:numId w:val="1"/>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Contractual research (funded by government, non-governmental organizations, or businesses) to meet specific policy or practice needs</w:t>
      </w:r>
    </w:p>
    <w:p w14:paraId="333004CE" w14:textId="77777777" w:rsidR="00A3262B" w:rsidRPr="003124F6" w:rsidRDefault="00A3262B" w:rsidP="00AA4D3A">
      <w:pPr>
        <w:numPr>
          <w:ilvl w:val="0"/>
          <w:numId w:val="1"/>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Demonstration projects</w:t>
      </w:r>
    </w:p>
    <w:p w14:paraId="543523D5" w14:textId="77777777" w:rsidR="00A3262B" w:rsidRPr="003124F6" w:rsidRDefault="00A3262B" w:rsidP="00AA4D3A">
      <w:pPr>
        <w:numPr>
          <w:ilvl w:val="0"/>
          <w:numId w:val="1"/>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Needs and assets assessments</w:t>
      </w:r>
    </w:p>
    <w:p w14:paraId="15AC89C8" w14:textId="61F6A414" w:rsidR="00A3262B" w:rsidRPr="003124F6" w:rsidRDefault="00A3262B" w:rsidP="00AA4D3A">
      <w:pPr>
        <w:numPr>
          <w:ilvl w:val="0"/>
          <w:numId w:val="1"/>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Policy analysis and program evaluations</w:t>
      </w:r>
    </w:p>
    <w:p w14:paraId="1E87E5DD" w14:textId="77777777" w:rsidR="00A3262B" w:rsidRPr="003124F6" w:rsidRDefault="00A3262B" w:rsidP="00AA4D3A">
      <w:pPr>
        <w:spacing w:after="120"/>
        <w:rPr>
          <w:rFonts w:cstheme="minorHAnsi"/>
          <w:color w:val="000000" w:themeColor="text1"/>
        </w:rPr>
      </w:pPr>
    </w:p>
    <w:p w14:paraId="6C349453" w14:textId="65C8D19D" w:rsidR="00A3262B" w:rsidRPr="003124F6" w:rsidRDefault="00A3262B" w:rsidP="00AA4D3A">
      <w:pPr>
        <w:spacing w:after="120"/>
        <w:rPr>
          <w:rFonts w:cstheme="minorHAnsi"/>
          <w:b/>
          <w:bCs/>
          <w:i/>
          <w:iCs/>
          <w:color w:val="000000" w:themeColor="text1"/>
        </w:rPr>
      </w:pPr>
      <w:r w:rsidRPr="003124F6">
        <w:rPr>
          <w:rFonts w:cstheme="minorHAnsi"/>
          <w:b/>
          <w:bCs/>
          <w:i/>
          <w:iCs/>
          <w:color w:val="000000" w:themeColor="text1"/>
        </w:rPr>
        <w:t>Teaching</w:t>
      </w:r>
    </w:p>
    <w:p w14:paraId="42538D9F" w14:textId="495895D8" w:rsidR="00A3262B" w:rsidRPr="003124F6" w:rsidRDefault="00A3262B" w:rsidP="00AA4D3A">
      <w:p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Engaged teaching/learning is characterized by the sharing of knowledge with various audiences through either formal or informal arrangements</w:t>
      </w:r>
      <w:r w:rsidR="002C0A89" w:rsidRPr="003124F6">
        <w:rPr>
          <w:rFonts w:eastAsia="Times New Roman" w:cstheme="minorHAnsi"/>
          <w:color w:val="000000" w:themeColor="text1"/>
        </w:rPr>
        <w:t xml:space="preserve"> that prioritize application of knowledge to community-identified needs or opportunities; or by teaching/learning that occurs in the community or in the field</w:t>
      </w:r>
      <w:r w:rsidRPr="003124F6">
        <w:rPr>
          <w:rFonts w:eastAsia="Times New Roman" w:cstheme="minorHAnsi"/>
          <w:color w:val="000000" w:themeColor="text1"/>
        </w:rPr>
        <w:t xml:space="preserve">. Engaged teaching may be for-credit or not-for-credit, guided by a </w:t>
      </w:r>
      <w:r w:rsidR="00B77DA9" w:rsidRPr="003124F6">
        <w:rPr>
          <w:rFonts w:eastAsia="Times New Roman" w:cstheme="minorHAnsi"/>
          <w:color w:val="000000" w:themeColor="text1"/>
        </w:rPr>
        <w:t>u</w:t>
      </w:r>
      <w:r w:rsidR="002C0A89" w:rsidRPr="003124F6">
        <w:rPr>
          <w:rFonts w:eastAsia="Times New Roman" w:cstheme="minorHAnsi"/>
          <w:color w:val="000000" w:themeColor="text1"/>
        </w:rPr>
        <w:t>niversity instructor, community member</w:t>
      </w:r>
      <w:r w:rsidRPr="003124F6">
        <w:rPr>
          <w:rFonts w:eastAsia="Times New Roman" w:cstheme="minorHAnsi"/>
          <w:color w:val="000000" w:themeColor="text1"/>
        </w:rPr>
        <w:t>, or self-directed.</w:t>
      </w:r>
      <w:r w:rsidR="002C0A89" w:rsidRPr="003124F6">
        <w:rPr>
          <w:rFonts w:eastAsia="Times New Roman" w:cstheme="minorHAnsi"/>
          <w:color w:val="000000" w:themeColor="text1"/>
        </w:rPr>
        <w:t xml:space="preserve"> Examples of community-engaged teaching/learning include but are not limited to</w:t>
      </w:r>
      <w:r w:rsidR="003124F6">
        <w:rPr>
          <w:rStyle w:val="FootnoteReference"/>
          <w:rFonts w:eastAsia="Times New Roman" w:cstheme="minorHAnsi"/>
          <w:color w:val="000000" w:themeColor="text1"/>
        </w:rPr>
        <w:footnoteReference w:id="1"/>
      </w:r>
      <w:r w:rsidR="002C0A89" w:rsidRPr="003124F6">
        <w:rPr>
          <w:rFonts w:eastAsia="Times New Roman" w:cstheme="minorHAnsi"/>
          <w:color w:val="000000" w:themeColor="text1"/>
        </w:rPr>
        <w:t>:</w:t>
      </w:r>
    </w:p>
    <w:p w14:paraId="1574AA40" w14:textId="1B0B18A2" w:rsidR="00330C9E" w:rsidRPr="003124F6" w:rsidRDefault="00330C9E" w:rsidP="00AA4D3A">
      <w:pPr>
        <w:numPr>
          <w:ilvl w:val="0"/>
          <w:numId w:val="2"/>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 xml:space="preserve">Community-based learning </w:t>
      </w:r>
      <w:r w:rsidR="00161592" w:rsidRPr="003124F6">
        <w:rPr>
          <w:rFonts w:eastAsia="Times New Roman" w:cstheme="minorHAnsi"/>
          <w:color w:val="000000" w:themeColor="text1"/>
        </w:rPr>
        <w:t>such as internships</w:t>
      </w:r>
      <w:r w:rsidR="001C651C" w:rsidRPr="003124F6">
        <w:rPr>
          <w:rFonts w:eastAsia="Times New Roman" w:cstheme="minorHAnsi"/>
          <w:color w:val="000000" w:themeColor="text1"/>
        </w:rPr>
        <w:t xml:space="preserve"> or professional</w:t>
      </w:r>
      <w:r w:rsidR="00161592" w:rsidRPr="003124F6">
        <w:rPr>
          <w:rFonts w:eastAsia="Times New Roman" w:cstheme="minorHAnsi"/>
          <w:color w:val="000000" w:themeColor="text1"/>
        </w:rPr>
        <w:t xml:space="preserve"> </w:t>
      </w:r>
      <w:r w:rsidR="00953EDD" w:rsidRPr="003124F6">
        <w:rPr>
          <w:rFonts w:eastAsia="Times New Roman" w:cstheme="minorHAnsi"/>
          <w:color w:val="000000" w:themeColor="text1"/>
        </w:rPr>
        <w:t xml:space="preserve">practica that occur directly in the community </w:t>
      </w:r>
    </w:p>
    <w:p w14:paraId="5C7BCEC6" w14:textId="28A6C987" w:rsidR="00A3262B" w:rsidRPr="003124F6" w:rsidRDefault="00A3262B" w:rsidP="00AA4D3A">
      <w:pPr>
        <w:numPr>
          <w:ilvl w:val="0"/>
          <w:numId w:val="2"/>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lastRenderedPageBreak/>
        <w:t>Service-learning</w:t>
      </w:r>
      <w:r w:rsidR="00370DFE" w:rsidRPr="003124F6">
        <w:rPr>
          <w:rFonts w:eastAsia="Times New Roman" w:cstheme="minorHAnsi"/>
          <w:color w:val="000000" w:themeColor="text1"/>
        </w:rPr>
        <w:t xml:space="preserve"> courses</w:t>
      </w:r>
      <w:r w:rsidR="004627F3" w:rsidRPr="003124F6">
        <w:rPr>
          <w:rFonts w:eastAsia="Times New Roman" w:cstheme="minorHAnsi"/>
          <w:color w:val="000000" w:themeColor="text1"/>
        </w:rPr>
        <w:t xml:space="preserve"> </w:t>
      </w:r>
      <w:r w:rsidR="003E3A01" w:rsidRPr="003124F6">
        <w:rPr>
          <w:rFonts w:eastAsia="Times New Roman" w:cstheme="minorHAnsi"/>
          <w:color w:val="000000" w:themeColor="text1"/>
        </w:rPr>
        <w:t xml:space="preserve">or learning activities that engage students in the community </w:t>
      </w:r>
      <w:r w:rsidR="00692569" w:rsidRPr="003124F6">
        <w:rPr>
          <w:rFonts w:eastAsia="Times New Roman" w:cstheme="minorHAnsi"/>
          <w:color w:val="000000" w:themeColor="text1"/>
        </w:rPr>
        <w:t xml:space="preserve">in ways that provide a “service” to address a community need and enhance the students’ learning </w:t>
      </w:r>
      <w:r w:rsidR="00E71015" w:rsidRPr="003124F6">
        <w:rPr>
          <w:rFonts w:eastAsia="Times New Roman" w:cstheme="minorHAnsi"/>
          <w:color w:val="000000" w:themeColor="text1"/>
        </w:rPr>
        <w:t xml:space="preserve">of course content </w:t>
      </w:r>
      <w:r w:rsidR="00D26656" w:rsidRPr="003124F6">
        <w:rPr>
          <w:rFonts w:eastAsia="Times New Roman" w:cstheme="minorHAnsi"/>
          <w:color w:val="000000" w:themeColor="text1"/>
        </w:rPr>
        <w:t>in the process</w:t>
      </w:r>
    </w:p>
    <w:p w14:paraId="02CA4208" w14:textId="44A428CC" w:rsidR="00A3262B" w:rsidRPr="003124F6" w:rsidRDefault="00A3262B" w:rsidP="00AA4D3A">
      <w:pPr>
        <w:numPr>
          <w:ilvl w:val="0"/>
          <w:numId w:val="2"/>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Study abroad programs with community engagement components</w:t>
      </w:r>
    </w:p>
    <w:p w14:paraId="2453DCF0" w14:textId="330C63DD" w:rsidR="00A3262B" w:rsidRPr="003124F6" w:rsidRDefault="00115728" w:rsidP="00AA4D3A">
      <w:pPr>
        <w:numPr>
          <w:ilvl w:val="0"/>
          <w:numId w:val="2"/>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Community-based capstone experienc</w:t>
      </w:r>
      <w:r w:rsidR="002F1F41" w:rsidRPr="003124F6">
        <w:rPr>
          <w:rFonts w:eastAsia="Times New Roman" w:cstheme="minorHAnsi"/>
          <w:color w:val="000000" w:themeColor="text1"/>
        </w:rPr>
        <w:t xml:space="preserve">es that often have a strong research </w:t>
      </w:r>
      <w:r w:rsidR="0066682D" w:rsidRPr="003124F6">
        <w:rPr>
          <w:rFonts w:eastAsia="Times New Roman" w:cstheme="minorHAnsi"/>
          <w:color w:val="000000" w:themeColor="text1"/>
        </w:rPr>
        <w:t xml:space="preserve">or service </w:t>
      </w:r>
      <w:r w:rsidR="002F1F41" w:rsidRPr="003124F6">
        <w:rPr>
          <w:rFonts w:eastAsia="Times New Roman" w:cstheme="minorHAnsi"/>
          <w:color w:val="000000" w:themeColor="text1"/>
        </w:rPr>
        <w:t>component</w:t>
      </w:r>
      <w:r w:rsidR="00A87188" w:rsidRPr="003124F6">
        <w:rPr>
          <w:rFonts w:eastAsia="Times New Roman" w:cstheme="minorHAnsi"/>
          <w:color w:val="000000" w:themeColor="text1"/>
        </w:rPr>
        <w:t xml:space="preserve"> and are directly </w:t>
      </w:r>
      <w:r w:rsidR="00180368" w:rsidRPr="003124F6">
        <w:rPr>
          <w:rFonts w:eastAsia="Times New Roman" w:cstheme="minorHAnsi"/>
          <w:color w:val="000000" w:themeColor="text1"/>
        </w:rPr>
        <w:t>related to or occur in the community</w:t>
      </w:r>
    </w:p>
    <w:p w14:paraId="079F3C7D" w14:textId="0A8303E8" w:rsidR="00A3262B" w:rsidRPr="003124F6" w:rsidRDefault="00A3262B" w:rsidP="00AA4D3A">
      <w:pPr>
        <w:numPr>
          <w:ilvl w:val="0"/>
          <w:numId w:val="3"/>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Pre-college programs for youth in K-12</w:t>
      </w:r>
      <w:r w:rsidR="00BF008E" w:rsidRPr="003124F6">
        <w:rPr>
          <w:rFonts w:eastAsia="Times New Roman" w:cstheme="minorHAnsi"/>
          <w:color w:val="000000" w:themeColor="text1"/>
        </w:rPr>
        <w:t xml:space="preserve"> or post-secondary/professional </w:t>
      </w:r>
      <w:r w:rsidRPr="003124F6">
        <w:rPr>
          <w:rFonts w:eastAsia="Times New Roman" w:cstheme="minorHAnsi"/>
          <w:color w:val="000000" w:themeColor="text1"/>
        </w:rPr>
        <w:t>certificate</w:t>
      </w:r>
      <w:r w:rsidR="00837A38" w:rsidRPr="003124F6">
        <w:rPr>
          <w:rFonts w:eastAsia="Times New Roman" w:cstheme="minorHAnsi"/>
          <w:color w:val="000000" w:themeColor="text1"/>
        </w:rPr>
        <w:t xml:space="preserve"> or</w:t>
      </w:r>
      <w:r w:rsidRPr="003124F6">
        <w:rPr>
          <w:rFonts w:eastAsia="Times New Roman" w:cstheme="minorHAnsi"/>
          <w:color w:val="000000" w:themeColor="text1"/>
        </w:rPr>
        <w:t xml:space="preserve"> licensure programs</w:t>
      </w:r>
    </w:p>
    <w:p w14:paraId="6E8AD048" w14:textId="7D039609" w:rsidR="00A3262B" w:rsidRPr="003124F6" w:rsidRDefault="00A3262B" w:rsidP="00AA4D3A">
      <w:pPr>
        <w:numPr>
          <w:ilvl w:val="0"/>
          <w:numId w:val="3"/>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Conferences, seminars, not-for-credit classes, and workshops</w:t>
      </w:r>
      <w:r w:rsidR="00085A66" w:rsidRPr="003124F6">
        <w:rPr>
          <w:rFonts w:eastAsia="Times New Roman" w:cstheme="minorHAnsi"/>
          <w:color w:val="000000" w:themeColor="text1"/>
        </w:rPr>
        <w:t>, including e</w:t>
      </w:r>
      <w:r w:rsidRPr="003124F6">
        <w:rPr>
          <w:rFonts w:eastAsia="Times New Roman" w:cstheme="minorHAnsi"/>
          <w:color w:val="000000" w:themeColor="text1"/>
        </w:rPr>
        <w:t>ducational enrichment programs for the public and alumni</w:t>
      </w:r>
    </w:p>
    <w:p w14:paraId="58CE63FE" w14:textId="19815E2D" w:rsidR="00350907" w:rsidRPr="003124F6" w:rsidRDefault="00350907" w:rsidP="00AA4D3A">
      <w:pPr>
        <w:shd w:val="clear" w:color="auto" w:fill="FFFFFF"/>
        <w:spacing w:after="120"/>
        <w:ind w:left="720"/>
        <w:rPr>
          <w:rFonts w:eastAsia="Times New Roman" w:cstheme="minorHAnsi"/>
          <w:color w:val="000000" w:themeColor="text1"/>
        </w:rPr>
      </w:pPr>
    </w:p>
    <w:p w14:paraId="7C62DDAF" w14:textId="6BBD2F7C" w:rsidR="00A3262B" w:rsidRPr="003124F6" w:rsidRDefault="00A3262B" w:rsidP="00AA4D3A">
      <w:pPr>
        <w:spacing w:after="120"/>
        <w:rPr>
          <w:rFonts w:cstheme="minorHAnsi"/>
          <w:b/>
          <w:bCs/>
          <w:i/>
          <w:iCs/>
          <w:color w:val="000000" w:themeColor="text1"/>
        </w:rPr>
      </w:pPr>
      <w:r w:rsidRPr="003124F6">
        <w:rPr>
          <w:rFonts w:cstheme="minorHAnsi"/>
          <w:b/>
          <w:bCs/>
          <w:i/>
          <w:iCs/>
          <w:color w:val="000000" w:themeColor="text1"/>
        </w:rPr>
        <w:t>Service</w:t>
      </w:r>
    </w:p>
    <w:p w14:paraId="3124A2CA" w14:textId="63242252" w:rsidR="0018511E" w:rsidRPr="003124F6" w:rsidRDefault="0018511E" w:rsidP="00AA4D3A">
      <w:p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 xml:space="preserve">Engaged service is associated with the use of university expertise to address specific issues </w:t>
      </w:r>
      <w:r w:rsidR="00277F6B" w:rsidRPr="003124F6">
        <w:rPr>
          <w:rFonts w:eastAsia="Times New Roman" w:cstheme="minorHAnsi"/>
          <w:color w:val="000000" w:themeColor="text1"/>
        </w:rPr>
        <w:t>or needs</w:t>
      </w:r>
      <w:r w:rsidRPr="003124F6">
        <w:rPr>
          <w:rFonts w:eastAsia="Times New Roman" w:cstheme="minorHAnsi"/>
          <w:color w:val="000000" w:themeColor="text1"/>
        </w:rPr>
        <w:t xml:space="preserve"> identified by individuals, organizations, or communities</w:t>
      </w:r>
      <w:r w:rsidR="003124F6">
        <w:rPr>
          <w:rFonts w:eastAsia="Times New Roman" w:cstheme="minorHAnsi"/>
          <w:color w:val="000000" w:themeColor="text1"/>
        </w:rPr>
        <w:t xml:space="preserve"> (MSU, n.d.)</w:t>
      </w:r>
      <w:r w:rsidR="00E818E2" w:rsidRPr="003124F6">
        <w:rPr>
          <w:rFonts w:eastAsia="Times New Roman" w:cstheme="minorHAnsi"/>
          <w:color w:val="000000" w:themeColor="text1"/>
        </w:rPr>
        <w:t xml:space="preserve"> external to the University</w:t>
      </w:r>
      <w:r w:rsidRPr="003124F6">
        <w:rPr>
          <w:rFonts w:eastAsia="Times New Roman" w:cstheme="minorHAnsi"/>
          <w:color w:val="000000" w:themeColor="text1"/>
        </w:rPr>
        <w:t>. This type of engagement is </w:t>
      </w:r>
      <w:r w:rsidR="005C0575" w:rsidRPr="003124F6">
        <w:rPr>
          <w:rFonts w:eastAsia="Times New Roman" w:cstheme="minorHAnsi"/>
          <w:color w:val="000000" w:themeColor="text1"/>
        </w:rPr>
        <w:t xml:space="preserve">generally </w:t>
      </w:r>
      <w:r w:rsidRPr="003124F6">
        <w:rPr>
          <w:rFonts w:eastAsia="Times New Roman" w:cstheme="minorHAnsi"/>
          <w:color w:val="000000" w:themeColor="text1"/>
        </w:rPr>
        <w:t xml:space="preserve">not driven by a research question, </w:t>
      </w:r>
      <w:r w:rsidR="005C0575" w:rsidRPr="003124F6">
        <w:rPr>
          <w:rFonts w:eastAsia="Times New Roman" w:cstheme="minorHAnsi"/>
          <w:color w:val="000000" w:themeColor="text1"/>
        </w:rPr>
        <w:t xml:space="preserve">but rather </w:t>
      </w:r>
      <w:r w:rsidR="004A2E64" w:rsidRPr="003124F6">
        <w:rPr>
          <w:rFonts w:eastAsia="Times New Roman" w:cstheme="minorHAnsi"/>
          <w:color w:val="000000" w:themeColor="text1"/>
        </w:rPr>
        <w:t>designed to</w:t>
      </w:r>
      <w:r w:rsidR="004754E1" w:rsidRPr="003124F6">
        <w:rPr>
          <w:rFonts w:eastAsia="Times New Roman" w:cstheme="minorHAnsi"/>
          <w:color w:val="000000" w:themeColor="text1"/>
        </w:rPr>
        <w:t xml:space="preserve"> provide a </w:t>
      </w:r>
      <w:r w:rsidR="00690A21" w:rsidRPr="003124F6">
        <w:rPr>
          <w:rFonts w:eastAsia="Times New Roman" w:cstheme="minorHAnsi"/>
          <w:color w:val="000000" w:themeColor="text1"/>
        </w:rPr>
        <w:t xml:space="preserve">genuine </w:t>
      </w:r>
      <w:r w:rsidR="00816678" w:rsidRPr="003124F6">
        <w:rPr>
          <w:rFonts w:eastAsia="Times New Roman" w:cstheme="minorHAnsi"/>
          <w:color w:val="000000" w:themeColor="text1"/>
        </w:rPr>
        <w:t>service to the community</w:t>
      </w:r>
      <w:r w:rsidR="00CF2878" w:rsidRPr="003124F6">
        <w:rPr>
          <w:rFonts w:eastAsia="Times New Roman" w:cstheme="minorHAnsi"/>
          <w:color w:val="000000" w:themeColor="text1"/>
        </w:rPr>
        <w:t xml:space="preserve"> or in partnership with the community. </w:t>
      </w:r>
      <w:r w:rsidR="00B45FF7" w:rsidRPr="003124F6">
        <w:rPr>
          <w:rFonts w:eastAsia="Times New Roman" w:cstheme="minorHAnsi"/>
          <w:color w:val="000000" w:themeColor="text1"/>
        </w:rPr>
        <w:t xml:space="preserve">Community engaged service is not the same as </w:t>
      </w:r>
      <w:r w:rsidR="00654EDD" w:rsidRPr="003124F6">
        <w:rPr>
          <w:rFonts w:eastAsia="Times New Roman" w:cstheme="minorHAnsi"/>
          <w:color w:val="000000" w:themeColor="text1"/>
        </w:rPr>
        <w:t xml:space="preserve">traditional academic service such as serving on a departmental curriculum committee or </w:t>
      </w:r>
      <w:r w:rsidR="008112B4" w:rsidRPr="003124F6">
        <w:rPr>
          <w:rFonts w:eastAsia="Times New Roman" w:cstheme="minorHAnsi"/>
          <w:color w:val="000000" w:themeColor="text1"/>
        </w:rPr>
        <w:t xml:space="preserve">university-wide </w:t>
      </w:r>
      <w:r w:rsidR="009F7BC1" w:rsidRPr="003124F6">
        <w:rPr>
          <w:rFonts w:eastAsia="Times New Roman" w:cstheme="minorHAnsi"/>
          <w:color w:val="000000" w:themeColor="text1"/>
        </w:rPr>
        <w:t xml:space="preserve">promotion and tenure </w:t>
      </w:r>
      <w:r w:rsidR="009E4DD9" w:rsidRPr="003124F6">
        <w:rPr>
          <w:rFonts w:eastAsia="Times New Roman" w:cstheme="minorHAnsi"/>
          <w:color w:val="000000" w:themeColor="text1"/>
        </w:rPr>
        <w:t>committee; but may include serving on a</w:t>
      </w:r>
      <w:r w:rsidR="000B58FC" w:rsidRPr="003124F6">
        <w:rPr>
          <w:rFonts w:eastAsia="Times New Roman" w:cstheme="minorHAnsi"/>
          <w:color w:val="000000" w:themeColor="text1"/>
        </w:rPr>
        <w:t xml:space="preserve">n </w:t>
      </w:r>
      <w:r w:rsidR="00DB3CBA" w:rsidRPr="003124F6">
        <w:rPr>
          <w:rFonts w:eastAsia="Times New Roman" w:cstheme="minorHAnsi"/>
          <w:color w:val="000000" w:themeColor="text1"/>
        </w:rPr>
        <w:t xml:space="preserve">external </w:t>
      </w:r>
      <w:r w:rsidR="000B58FC" w:rsidRPr="003124F6">
        <w:rPr>
          <w:rFonts w:eastAsia="Times New Roman" w:cstheme="minorHAnsi"/>
          <w:color w:val="000000" w:themeColor="text1"/>
        </w:rPr>
        <w:t xml:space="preserve">advisory board or </w:t>
      </w:r>
      <w:r w:rsidR="00BC4C80" w:rsidRPr="003124F6">
        <w:rPr>
          <w:rFonts w:eastAsia="Times New Roman" w:cstheme="minorHAnsi"/>
          <w:color w:val="000000" w:themeColor="text1"/>
        </w:rPr>
        <w:t xml:space="preserve">community </w:t>
      </w:r>
      <w:r w:rsidR="00C743C7" w:rsidRPr="003124F6">
        <w:rPr>
          <w:rFonts w:eastAsia="Times New Roman" w:cstheme="minorHAnsi"/>
          <w:color w:val="000000" w:themeColor="text1"/>
        </w:rPr>
        <w:t>coalition</w:t>
      </w:r>
      <w:r w:rsidR="00A54784" w:rsidRPr="003124F6">
        <w:rPr>
          <w:rFonts w:eastAsia="Times New Roman" w:cstheme="minorHAnsi"/>
          <w:color w:val="000000" w:themeColor="text1"/>
        </w:rPr>
        <w:t xml:space="preserve">. </w:t>
      </w:r>
      <w:r w:rsidR="00B45FF7" w:rsidRPr="003124F6">
        <w:rPr>
          <w:rFonts w:eastAsia="Times New Roman" w:cstheme="minorHAnsi"/>
          <w:color w:val="000000" w:themeColor="text1"/>
        </w:rPr>
        <w:t>Examples of community engaged service include but are not limited to:</w:t>
      </w:r>
    </w:p>
    <w:p w14:paraId="5B950F5B" w14:textId="5257FE81" w:rsidR="0018511E" w:rsidRPr="003124F6" w:rsidRDefault="003F75E7" w:rsidP="00AA4D3A">
      <w:pPr>
        <w:numPr>
          <w:ilvl w:val="0"/>
          <w:numId w:val="5"/>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Providing t</w:t>
      </w:r>
      <w:r w:rsidR="0018511E" w:rsidRPr="003124F6">
        <w:rPr>
          <w:rFonts w:eastAsia="Times New Roman" w:cstheme="minorHAnsi"/>
          <w:color w:val="000000" w:themeColor="text1"/>
        </w:rPr>
        <w:t>echnical assistance</w:t>
      </w:r>
      <w:r w:rsidRPr="003124F6">
        <w:rPr>
          <w:rFonts w:eastAsia="Times New Roman" w:cstheme="minorHAnsi"/>
          <w:color w:val="000000" w:themeColor="text1"/>
        </w:rPr>
        <w:t xml:space="preserve"> or c</w:t>
      </w:r>
      <w:r w:rsidR="0018511E" w:rsidRPr="003124F6">
        <w:rPr>
          <w:rFonts w:eastAsia="Times New Roman" w:cstheme="minorHAnsi"/>
          <w:color w:val="000000" w:themeColor="text1"/>
        </w:rPr>
        <w:t>onsulting</w:t>
      </w:r>
      <w:r w:rsidRPr="003124F6">
        <w:rPr>
          <w:rFonts w:eastAsia="Times New Roman" w:cstheme="minorHAnsi"/>
          <w:color w:val="000000" w:themeColor="text1"/>
        </w:rPr>
        <w:t xml:space="preserve"> to community groups</w:t>
      </w:r>
      <w:r w:rsidR="00891F3B" w:rsidRPr="003124F6">
        <w:rPr>
          <w:rFonts w:eastAsia="Times New Roman" w:cstheme="minorHAnsi"/>
          <w:color w:val="000000" w:themeColor="text1"/>
        </w:rPr>
        <w:t xml:space="preserve"> or organizations</w:t>
      </w:r>
    </w:p>
    <w:p w14:paraId="0996C21B" w14:textId="142A2B4F" w:rsidR="0018511E" w:rsidRPr="003124F6" w:rsidRDefault="00891F3B" w:rsidP="00AA4D3A">
      <w:pPr>
        <w:numPr>
          <w:ilvl w:val="0"/>
          <w:numId w:val="5"/>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Conducting p</w:t>
      </w:r>
      <w:r w:rsidR="0018511E" w:rsidRPr="003124F6">
        <w:rPr>
          <w:rFonts w:eastAsia="Times New Roman" w:cstheme="minorHAnsi"/>
          <w:color w:val="000000" w:themeColor="text1"/>
        </w:rPr>
        <w:t>olicy analysis</w:t>
      </w:r>
      <w:r w:rsidRPr="003124F6">
        <w:rPr>
          <w:rFonts w:eastAsia="Times New Roman" w:cstheme="minorHAnsi"/>
          <w:color w:val="000000" w:themeColor="text1"/>
        </w:rPr>
        <w:t xml:space="preserve"> or providing </w:t>
      </w:r>
      <w:r w:rsidR="00920825" w:rsidRPr="003124F6">
        <w:rPr>
          <w:rFonts w:eastAsia="Times New Roman" w:cstheme="minorHAnsi"/>
          <w:color w:val="000000" w:themeColor="text1"/>
        </w:rPr>
        <w:t>e</w:t>
      </w:r>
      <w:r w:rsidR="0018511E" w:rsidRPr="003124F6">
        <w:rPr>
          <w:rFonts w:eastAsia="Times New Roman" w:cstheme="minorHAnsi"/>
          <w:color w:val="000000" w:themeColor="text1"/>
        </w:rPr>
        <w:t>xpert testimony</w:t>
      </w:r>
      <w:r w:rsidR="00920825" w:rsidRPr="003124F6">
        <w:rPr>
          <w:rFonts w:eastAsia="Times New Roman" w:cstheme="minorHAnsi"/>
          <w:color w:val="000000" w:themeColor="text1"/>
        </w:rPr>
        <w:t xml:space="preserve"> in a legislative hearing</w:t>
      </w:r>
    </w:p>
    <w:p w14:paraId="379AE032" w14:textId="30CC261B" w:rsidR="0018511E" w:rsidRPr="003124F6" w:rsidRDefault="00724D7A" w:rsidP="00AA4D3A">
      <w:pPr>
        <w:numPr>
          <w:ilvl w:val="0"/>
          <w:numId w:val="5"/>
        </w:numPr>
        <w:shd w:val="clear" w:color="auto" w:fill="FFFFFF"/>
        <w:spacing w:after="120"/>
        <w:rPr>
          <w:rFonts w:eastAsia="Times New Roman" w:cstheme="minorHAnsi"/>
          <w:color w:val="000000" w:themeColor="text1"/>
        </w:rPr>
      </w:pPr>
      <w:r w:rsidRPr="003124F6">
        <w:rPr>
          <w:noProof/>
          <w:color w:val="000000" w:themeColor="text1"/>
        </w:rPr>
        <w:drawing>
          <wp:anchor distT="0" distB="0" distL="114300" distR="114300" simplePos="0" relativeHeight="251658240" behindDoc="1" locked="0" layoutInCell="1" allowOverlap="1" wp14:anchorId="49C8CF04" wp14:editId="3AEC0B84">
            <wp:simplePos x="0" y="0"/>
            <wp:positionH relativeFrom="column">
              <wp:posOffset>3237078</wp:posOffset>
            </wp:positionH>
            <wp:positionV relativeFrom="paragraph">
              <wp:posOffset>421005</wp:posOffset>
            </wp:positionV>
            <wp:extent cx="3185160" cy="3003550"/>
            <wp:effectExtent l="0" t="0" r="0" b="6350"/>
            <wp:wrapTight wrapText="bothSides">
              <wp:wrapPolygon edited="0">
                <wp:start x="0" y="0"/>
                <wp:lineTo x="0" y="21509"/>
                <wp:lineTo x="21445" y="21509"/>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85160" cy="3003550"/>
                    </a:xfrm>
                    <a:prstGeom prst="rect">
                      <a:avLst/>
                    </a:prstGeom>
                  </pic:spPr>
                </pic:pic>
              </a:graphicData>
            </a:graphic>
            <wp14:sizeRelH relativeFrom="margin">
              <wp14:pctWidth>0</wp14:pctWidth>
            </wp14:sizeRelH>
            <wp14:sizeRelV relativeFrom="margin">
              <wp14:pctHeight>0</wp14:pctHeight>
            </wp14:sizeRelV>
          </wp:anchor>
        </w:drawing>
      </w:r>
      <w:r w:rsidR="00920825" w:rsidRPr="003124F6">
        <w:rPr>
          <w:rFonts w:eastAsia="Times New Roman" w:cstheme="minorHAnsi"/>
          <w:color w:val="000000" w:themeColor="text1"/>
        </w:rPr>
        <w:t xml:space="preserve">Service in the health professions may include </w:t>
      </w:r>
      <w:r w:rsidR="009D4847" w:rsidRPr="003124F6">
        <w:rPr>
          <w:rFonts w:eastAsia="Times New Roman" w:cstheme="minorHAnsi"/>
          <w:color w:val="000000" w:themeColor="text1"/>
        </w:rPr>
        <w:t>c</w:t>
      </w:r>
      <w:r w:rsidR="0018511E" w:rsidRPr="003124F6">
        <w:rPr>
          <w:rFonts w:eastAsia="Times New Roman" w:cstheme="minorHAnsi"/>
          <w:color w:val="000000" w:themeColor="text1"/>
        </w:rPr>
        <w:t>linical practice</w:t>
      </w:r>
      <w:r w:rsidR="009D4847" w:rsidRPr="003124F6">
        <w:rPr>
          <w:rFonts w:eastAsia="Times New Roman" w:cstheme="minorHAnsi"/>
          <w:color w:val="000000" w:themeColor="text1"/>
        </w:rPr>
        <w:t xml:space="preserve"> or d</w:t>
      </w:r>
      <w:r w:rsidR="0018511E" w:rsidRPr="003124F6">
        <w:rPr>
          <w:rFonts w:eastAsia="Times New Roman" w:cstheme="minorHAnsi"/>
          <w:color w:val="000000" w:themeColor="text1"/>
        </w:rPr>
        <w:t>iagnostic services</w:t>
      </w:r>
      <w:r w:rsidR="009D4847" w:rsidRPr="003124F6">
        <w:rPr>
          <w:rFonts w:eastAsia="Times New Roman" w:cstheme="minorHAnsi"/>
          <w:color w:val="000000" w:themeColor="text1"/>
        </w:rPr>
        <w:t xml:space="preserve"> provided free of charge to communities in need.</w:t>
      </w:r>
    </w:p>
    <w:p w14:paraId="15024C72" w14:textId="550FB3F7" w:rsidR="0018511E" w:rsidRPr="003124F6" w:rsidRDefault="009D4847" w:rsidP="00AA4D3A">
      <w:pPr>
        <w:numPr>
          <w:ilvl w:val="0"/>
          <w:numId w:val="5"/>
        </w:numPr>
        <w:shd w:val="clear" w:color="auto" w:fill="FFFFFF"/>
        <w:spacing w:after="120"/>
        <w:rPr>
          <w:rFonts w:eastAsia="Times New Roman" w:cstheme="minorHAnsi"/>
          <w:color w:val="000000" w:themeColor="text1"/>
        </w:rPr>
      </w:pPr>
      <w:r w:rsidRPr="003124F6">
        <w:rPr>
          <w:rFonts w:eastAsia="Times New Roman" w:cstheme="minorHAnsi"/>
          <w:color w:val="000000" w:themeColor="text1"/>
        </w:rPr>
        <w:t>Participating on a</w:t>
      </w:r>
      <w:r w:rsidR="0018511E" w:rsidRPr="003124F6">
        <w:rPr>
          <w:rFonts w:eastAsia="Times New Roman" w:cstheme="minorHAnsi"/>
          <w:color w:val="000000" w:themeColor="text1"/>
        </w:rPr>
        <w:t>dvisory boards and other disciplinary-related service to community organizations</w:t>
      </w:r>
    </w:p>
    <w:p w14:paraId="7A85FF7B" w14:textId="390DA3B6" w:rsidR="007935A7" w:rsidRPr="003124F6" w:rsidRDefault="007935A7" w:rsidP="00AA4D3A">
      <w:pPr>
        <w:spacing w:after="120"/>
        <w:rPr>
          <w:rFonts w:cstheme="minorHAnsi"/>
          <w:b/>
          <w:bCs/>
          <w:color w:val="000000" w:themeColor="text1"/>
        </w:rPr>
      </w:pPr>
    </w:p>
    <w:p w14:paraId="198B1EFB" w14:textId="5B8D02D9" w:rsidR="00AA2A76" w:rsidRPr="003124F6" w:rsidRDefault="007935A7" w:rsidP="00AA4D3A">
      <w:pPr>
        <w:spacing w:after="120"/>
        <w:rPr>
          <w:color w:val="000000" w:themeColor="text1"/>
        </w:rPr>
      </w:pPr>
      <w:r w:rsidRPr="003124F6">
        <w:rPr>
          <w:rFonts w:cstheme="minorHAnsi"/>
          <w:color w:val="000000" w:themeColor="text1"/>
        </w:rPr>
        <w:t>As our definition</w:t>
      </w:r>
      <w:r w:rsidR="002A6BE4" w:rsidRPr="003124F6">
        <w:rPr>
          <w:rFonts w:cstheme="minorHAnsi"/>
          <w:color w:val="000000" w:themeColor="text1"/>
        </w:rPr>
        <w:t xml:space="preserve"> of community engaged scholarship</w:t>
      </w:r>
      <w:r w:rsidRPr="003124F6">
        <w:rPr>
          <w:rFonts w:cstheme="minorHAnsi"/>
          <w:color w:val="000000" w:themeColor="text1"/>
        </w:rPr>
        <w:t xml:space="preserve"> </w:t>
      </w:r>
      <w:r w:rsidR="004209A8" w:rsidRPr="003124F6">
        <w:rPr>
          <w:rFonts w:cstheme="minorHAnsi"/>
          <w:color w:val="000000" w:themeColor="text1"/>
        </w:rPr>
        <w:t xml:space="preserve">implies, </w:t>
      </w:r>
      <w:r w:rsidR="000512FE" w:rsidRPr="003124F6">
        <w:rPr>
          <w:rFonts w:cstheme="minorHAnsi"/>
          <w:color w:val="000000" w:themeColor="text1"/>
        </w:rPr>
        <w:t xml:space="preserve">the greatest </w:t>
      </w:r>
      <w:r w:rsidR="0087589E" w:rsidRPr="003124F6">
        <w:rPr>
          <w:rFonts w:cstheme="minorHAnsi"/>
          <w:color w:val="000000" w:themeColor="text1"/>
        </w:rPr>
        <w:t>impact</w:t>
      </w:r>
      <w:r w:rsidR="002D3361" w:rsidRPr="003124F6">
        <w:rPr>
          <w:rFonts w:cstheme="minorHAnsi"/>
          <w:color w:val="000000" w:themeColor="text1"/>
        </w:rPr>
        <w:t xml:space="preserve"> generally</w:t>
      </w:r>
      <w:r w:rsidR="000512FE" w:rsidRPr="003124F6">
        <w:rPr>
          <w:rFonts w:cstheme="minorHAnsi"/>
          <w:color w:val="000000" w:themeColor="text1"/>
        </w:rPr>
        <w:t xml:space="preserve"> occur</w:t>
      </w:r>
      <w:r w:rsidR="0087589E" w:rsidRPr="003124F6">
        <w:rPr>
          <w:rFonts w:cstheme="minorHAnsi"/>
          <w:color w:val="000000" w:themeColor="text1"/>
        </w:rPr>
        <w:t>s</w:t>
      </w:r>
      <w:r w:rsidR="000512FE" w:rsidRPr="003124F6">
        <w:rPr>
          <w:rFonts w:cstheme="minorHAnsi"/>
          <w:color w:val="000000" w:themeColor="text1"/>
        </w:rPr>
        <w:t xml:space="preserve"> at the </w:t>
      </w:r>
      <w:r w:rsidR="000512FE" w:rsidRPr="005E6C5E">
        <w:rPr>
          <w:rFonts w:cstheme="minorHAnsi"/>
          <w:i/>
          <w:iCs/>
          <w:color w:val="000000" w:themeColor="text1"/>
        </w:rPr>
        <w:t xml:space="preserve">intersection </w:t>
      </w:r>
      <w:r w:rsidR="000512FE" w:rsidRPr="003124F6">
        <w:rPr>
          <w:rFonts w:cstheme="minorHAnsi"/>
          <w:color w:val="000000" w:themeColor="text1"/>
        </w:rPr>
        <w:t xml:space="preserve">of </w:t>
      </w:r>
      <w:r w:rsidR="006531B8" w:rsidRPr="003124F6">
        <w:rPr>
          <w:rFonts w:cstheme="minorHAnsi"/>
          <w:color w:val="000000" w:themeColor="text1"/>
        </w:rPr>
        <w:t>community engaged research, teaching/learning and service</w:t>
      </w:r>
      <w:r w:rsidR="00C1482F" w:rsidRPr="003124F6">
        <w:rPr>
          <w:rFonts w:cstheme="minorHAnsi"/>
          <w:color w:val="000000" w:themeColor="text1"/>
        </w:rPr>
        <w:t xml:space="preserve"> because of the opportunity</w:t>
      </w:r>
      <w:r w:rsidR="0087589E" w:rsidRPr="003124F6">
        <w:rPr>
          <w:rFonts w:cstheme="minorHAnsi"/>
          <w:color w:val="000000" w:themeColor="text1"/>
        </w:rPr>
        <w:t xml:space="preserve"> for mutually reinforcing benefits</w:t>
      </w:r>
      <w:r w:rsidR="006531B8" w:rsidRPr="003124F6">
        <w:rPr>
          <w:rFonts w:cstheme="minorHAnsi"/>
          <w:color w:val="000000" w:themeColor="text1"/>
        </w:rPr>
        <w:t xml:space="preserve">. </w:t>
      </w:r>
      <w:r w:rsidR="00534C36" w:rsidRPr="003124F6">
        <w:rPr>
          <w:rFonts w:cstheme="minorHAnsi"/>
          <w:color w:val="000000" w:themeColor="text1"/>
        </w:rPr>
        <w:t>F</w:t>
      </w:r>
      <w:r w:rsidR="00D01DFA" w:rsidRPr="003124F6">
        <w:rPr>
          <w:rFonts w:cstheme="minorHAnsi"/>
          <w:color w:val="000000" w:themeColor="text1"/>
        </w:rPr>
        <w:t>igure</w:t>
      </w:r>
      <w:r w:rsidR="00534C36" w:rsidRPr="003124F6">
        <w:rPr>
          <w:rFonts w:cstheme="minorHAnsi"/>
          <w:color w:val="000000" w:themeColor="text1"/>
        </w:rPr>
        <w:t xml:space="preserve"> 1</w:t>
      </w:r>
      <w:r w:rsidR="00AB5A10" w:rsidRPr="003124F6">
        <w:rPr>
          <w:rFonts w:cstheme="minorHAnsi"/>
          <w:color w:val="000000" w:themeColor="text1"/>
        </w:rPr>
        <w:t>,</w:t>
      </w:r>
      <w:r w:rsidR="00534C36" w:rsidRPr="003124F6">
        <w:rPr>
          <w:rFonts w:cstheme="minorHAnsi"/>
          <w:color w:val="000000" w:themeColor="text1"/>
        </w:rPr>
        <w:t xml:space="preserve"> </w:t>
      </w:r>
      <w:r w:rsidR="00D01DFA" w:rsidRPr="003124F6">
        <w:rPr>
          <w:rFonts w:cstheme="minorHAnsi"/>
          <w:color w:val="000000" w:themeColor="text1"/>
        </w:rPr>
        <w:t>adapted from C</w:t>
      </w:r>
      <w:r w:rsidR="00D00D5A" w:rsidRPr="003124F6">
        <w:rPr>
          <w:color w:val="000000" w:themeColor="text1"/>
        </w:rPr>
        <w:t>CESHP, 2005</w:t>
      </w:r>
      <w:r w:rsidR="009C6716" w:rsidRPr="003124F6">
        <w:rPr>
          <w:color w:val="000000" w:themeColor="text1"/>
        </w:rPr>
        <w:t xml:space="preserve"> </w:t>
      </w:r>
      <w:r w:rsidR="00D01DFA" w:rsidRPr="003124F6">
        <w:rPr>
          <w:color w:val="000000" w:themeColor="text1"/>
        </w:rPr>
        <w:t xml:space="preserve">and </w:t>
      </w:r>
      <w:r w:rsidR="009C6716" w:rsidRPr="003124F6">
        <w:rPr>
          <w:color w:val="000000" w:themeColor="text1"/>
        </w:rPr>
        <w:t xml:space="preserve">Furco, </w:t>
      </w:r>
      <w:r w:rsidR="00FD3517" w:rsidRPr="003124F6">
        <w:rPr>
          <w:color w:val="000000" w:themeColor="text1"/>
        </w:rPr>
        <w:t>2010</w:t>
      </w:r>
      <w:r w:rsidR="00D01DFA" w:rsidRPr="003124F6">
        <w:rPr>
          <w:color w:val="000000" w:themeColor="text1"/>
        </w:rPr>
        <w:t>, illustrates the overlap</w:t>
      </w:r>
      <w:r w:rsidR="00F1273E" w:rsidRPr="003124F6">
        <w:rPr>
          <w:color w:val="000000" w:themeColor="text1"/>
        </w:rPr>
        <w:t xml:space="preserve"> of the traditional </w:t>
      </w:r>
      <w:r w:rsidR="00FE7C8E" w:rsidRPr="003124F6">
        <w:rPr>
          <w:color w:val="000000" w:themeColor="text1"/>
        </w:rPr>
        <w:t>element</w:t>
      </w:r>
      <w:r w:rsidR="004E613D" w:rsidRPr="003124F6">
        <w:rPr>
          <w:color w:val="000000" w:themeColor="text1"/>
        </w:rPr>
        <w:t>s</w:t>
      </w:r>
      <w:r w:rsidR="009313A7" w:rsidRPr="003124F6">
        <w:rPr>
          <w:color w:val="000000" w:themeColor="text1"/>
        </w:rPr>
        <w:t xml:space="preserve"> of </w:t>
      </w:r>
      <w:r w:rsidR="00FE7C8E" w:rsidRPr="003124F6">
        <w:rPr>
          <w:color w:val="000000" w:themeColor="text1"/>
        </w:rPr>
        <w:t xml:space="preserve">scholarship within higher education </w:t>
      </w:r>
      <w:r w:rsidR="00D20302" w:rsidRPr="003124F6">
        <w:rPr>
          <w:color w:val="000000" w:themeColor="text1"/>
        </w:rPr>
        <w:t xml:space="preserve">adapted </w:t>
      </w:r>
      <w:r w:rsidR="00E86AE1" w:rsidRPr="003124F6">
        <w:rPr>
          <w:color w:val="000000" w:themeColor="text1"/>
        </w:rPr>
        <w:t>to highlight</w:t>
      </w:r>
      <w:r w:rsidR="005F213F" w:rsidRPr="003124F6">
        <w:rPr>
          <w:color w:val="000000" w:themeColor="text1"/>
        </w:rPr>
        <w:t xml:space="preserve"> some examples of</w:t>
      </w:r>
      <w:r w:rsidR="00E86AE1" w:rsidRPr="003124F6">
        <w:rPr>
          <w:color w:val="000000" w:themeColor="text1"/>
        </w:rPr>
        <w:t xml:space="preserve"> </w:t>
      </w:r>
      <w:r w:rsidR="007316B3" w:rsidRPr="003124F6">
        <w:rPr>
          <w:color w:val="000000" w:themeColor="text1"/>
        </w:rPr>
        <w:t xml:space="preserve">opportunities for </w:t>
      </w:r>
      <w:r w:rsidR="005F213F" w:rsidRPr="003124F6">
        <w:rPr>
          <w:color w:val="000000" w:themeColor="text1"/>
        </w:rPr>
        <w:t>community engagement outlined above.</w:t>
      </w:r>
      <w:r w:rsidR="0097618E">
        <w:rPr>
          <w:color w:val="000000" w:themeColor="text1"/>
        </w:rPr>
        <w:t xml:space="preserve"> Importantly, these are only examples</w:t>
      </w:r>
      <w:r w:rsidR="001D7ABC">
        <w:rPr>
          <w:color w:val="000000" w:themeColor="text1"/>
        </w:rPr>
        <w:t>,</w:t>
      </w:r>
      <w:r w:rsidR="0097618E">
        <w:rPr>
          <w:color w:val="000000" w:themeColor="text1"/>
        </w:rPr>
        <w:t xml:space="preserve"> and there are many other kinds of opportunities for such intersection. </w:t>
      </w:r>
    </w:p>
    <w:p w14:paraId="62E53E89" w14:textId="3440CE4C" w:rsidR="00DE23A8" w:rsidRPr="003124F6" w:rsidRDefault="004E613D" w:rsidP="00AA4D3A">
      <w:pPr>
        <w:spacing w:after="120"/>
        <w:rPr>
          <w:b/>
          <w:bCs/>
          <w:smallCaps/>
          <w:color w:val="000000" w:themeColor="text1"/>
          <w:sz w:val="24"/>
        </w:rPr>
      </w:pPr>
      <w:r w:rsidRPr="003124F6">
        <w:rPr>
          <w:b/>
          <w:bCs/>
          <w:smallCaps/>
          <w:color w:val="000000" w:themeColor="text1"/>
          <w:sz w:val="24"/>
        </w:rPr>
        <w:lastRenderedPageBreak/>
        <w:t>P</w:t>
      </w:r>
      <w:r w:rsidR="00DE23A8" w:rsidRPr="003124F6">
        <w:rPr>
          <w:b/>
          <w:bCs/>
          <w:smallCaps/>
          <w:color w:val="000000" w:themeColor="text1"/>
          <w:sz w:val="24"/>
        </w:rPr>
        <w:t>rinciples</w:t>
      </w:r>
      <w:r w:rsidR="00F37EA7" w:rsidRPr="003124F6">
        <w:rPr>
          <w:b/>
          <w:bCs/>
          <w:smallCaps/>
          <w:color w:val="000000" w:themeColor="text1"/>
          <w:sz w:val="24"/>
        </w:rPr>
        <w:t xml:space="preserve"> &amp; Values</w:t>
      </w:r>
      <w:r w:rsidR="00AE1D2C" w:rsidRPr="003124F6">
        <w:rPr>
          <w:b/>
          <w:bCs/>
          <w:smallCaps/>
          <w:color w:val="000000" w:themeColor="text1"/>
          <w:sz w:val="24"/>
        </w:rPr>
        <w:t xml:space="preserve"> of Community Engagement Scholarship</w:t>
      </w:r>
      <w:r w:rsidR="00637CF8" w:rsidRPr="003124F6">
        <w:rPr>
          <w:b/>
          <w:bCs/>
          <w:smallCaps/>
          <w:color w:val="000000" w:themeColor="text1"/>
          <w:sz w:val="24"/>
        </w:rPr>
        <w:t xml:space="preserve"> for Health</w:t>
      </w:r>
    </w:p>
    <w:p w14:paraId="4D236D2A" w14:textId="33CE6D3D" w:rsidR="00637CF8" w:rsidRPr="003124F6" w:rsidRDefault="00637CF8" w:rsidP="00AA4D3A">
      <w:pPr>
        <w:spacing w:after="120"/>
        <w:rPr>
          <w:color w:val="000000" w:themeColor="text1"/>
        </w:rPr>
      </w:pPr>
      <w:r w:rsidRPr="003124F6">
        <w:rPr>
          <w:color w:val="000000" w:themeColor="text1"/>
        </w:rPr>
        <w:t xml:space="preserve">Community </w:t>
      </w:r>
      <w:r w:rsidR="00360104" w:rsidRPr="003124F6">
        <w:rPr>
          <w:color w:val="000000" w:themeColor="text1"/>
        </w:rPr>
        <w:t>e</w:t>
      </w:r>
      <w:r w:rsidRPr="003124F6">
        <w:rPr>
          <w:color w:val="000000" w:themeColor="text1"/>
        </w:rPr>
        <w:t xml:space="preserve">ngaged </w:t>
      </w:r>
      <w:r w:rsidR="00360104" w:rsidRPr="003124F6">
        <w:rPr>
          <w:color w:val="000000" w:themeColor="text1"/>
        </w:rPr>
        <w:t>s</w:t>
      </w:r>
      <w:r w:rsidRPr="003124F6">
        <w:rPr>
          <w:color w:val="000000" w:themeColor="text1"/>
        </w:rPr>
        <w:t xml:space="preserve">cholarship for </w:t>
      </w:r>
      <w:r w:rsidR="007E233A" w:rsidRPr="003124F6">
        <w:rPr>
          <w:color w:val="000000" w:themeColor="text1"/>
        </w:rPr>
        <w:t>h</w:t>
      </w:r>
      <w:r w:rsidRPr="003124F6">
        <w:rPr>
          <w:color w:val="000000" w:themeColor="text1"/>
        </w:rPr>
        <w:t xml:space="preserve">ealth recognizes not only the value, but the necessity, of authentic partnerships to dismantle traditional hierarchies that contribute to health inequities and engage in partnerships that promote population health. Values of </w:t>
      </w:r>
      <w:r w:rsidR="00360104" w:rsidRPr="003124F6">
        <w:rPr>
          <w:color w:val="000000" w:themeColor="text1"/>
        </w:rPr>
        <w:t>c</w:t>
      </w:r>
      <w:r w:rsidRPr="003124F6">
        <w:rPr>
          <w:color w:val="000000" w:themeColor="text1"/>
        </w:rPr>
        <w:t xml:space="preserve">ommunity </w:t>
      </w:r>
      <w:r w:rsidR="00360104" w:rsidRPr="003124F6">
        <w:rPr>
          <w:color w:val="000000" w:themeColor="text1"/>
        </w:rPr>
        <w:t>e</w:t>
      </w:r>
      <w:r w:rsidRPr="003124F6">
        <w:rPr>
          <w:color w:val="000000" w:themeColor="text1"/>
        </w:rPr>
        <w:t xml:space="preserve">ngaged </w:t>
      </w:r>
      <w:r w:rsidR="00360104" w:rsidRPr="003124F6">
        <w:rPr>
          <w:color w:val="000000" w:themeColor="text1"/>
        </w:rPr>
        <w:t>s</w:t>
      </w:r>
      <w:r w:rsidRPr="003124F6">
        <w:rPr>
          <w:color w:val="000000" w:themeColor="text1"/>
        </w:rPr>
        <w:t>cholarship, in addition to institutional standards of rigor and quality, have a distinct emphasis on authentic partnerships, which have been characterized by the following four elements (CCPH, 2013):</w:t>
      </w:r>
    </w:p>
    <w:p w14:paraId="028460C7" w14:textId="1763EE01" w:rsidR="00637CF8" w:rsidRPr="003124F6" w:rsidRDefault="00637CF8" w:rsidP="00AA4D3A">
      <w:pPr>
        <w:pStyle w:val="ListParagraph"/>
        <w:numPr>
          <w:ilvl w:val="0"/>
          <w:numId w:val="6"/>
        </w:numPr>
        <w:spacing w:after="120"/>
        <w:rPr>
          <w:color w:val="000000" w:themeColor="text1"/>
        </w:rPr>
      </w:pPr>
      <w:r w:rsidRPr="003124F6">
        <w:rPr>
          <w:color w:val="000000" w:themeColor="text1"/>
        </w:rPr>
        <w:t xml:space="preserve">Guiding Principles of Partnerships: are collaborative, sustainable, involving a deep sense of trust, </w:t>
      </w:r>
      <w:r w:rsidR="00B62B4E" w:rsidRPr="003124F6">
        <w:rPr>
          <w:color w:val="000000" w:themeColor="text1"/>
        </w:rPr>
        <w:t xml:space="preserve">shared power and resources, </w:t>
      </w:r>
      <w:r w:rsidRPr="003124F6">
        <w:rPr>
          <w:color w:val="000000" w:themeColor="text1"/>
        </w:rPr>
        <w:t xml:space="preserve">and mutually beneficial (see CCPH for </w:t>
      </w:r>
      <w:r w:rsidR="00CB0671" w:rsidRPr="003124F6">
        <w:rPr>
          <w:color w:val="000000" w:themeColor="text1"/>
        </w:rPr>
        <w:t>detail</w:t>
      </w:r>
      <w:r w:rsidR="00360104" w:rsidRPr="003124F6">
        <w:rPr>
          <w:color w:val="000000" w:themeColor="text1"/>
        </w:rPr>
        <w:t>ed</w:t>
      </w:r>
      <w:r w:rsidR="00CB0671" w:rsidRPr="003124F6">
        <w:rPr>
          <w:color w:val="000000" w:themeColor="text1"/>
        </w:rPr>
        <w:t xml:space="preserve"> descriptions).</w:t>
      </w:r>
    </w:p>
    <w:p w14:paraId="5AADB628" w14:textId="6342F5D2" w:rsidR="00637CF8" w:rsidRPr="003124F6" w:rsidRDefault="00637CF8" w:rsidP="00AA4D3A">
      <w:pPr>
        <w:pStyle w:val="ListParagraph"/>
        <w:numPr>
          <w:ilvl w:val="0"/>
          <w:numId w:val="6"/>
        </w:numPr>
        <w:spacing w:after="120"/>
        <w:rPr>
          <w:color w:val="000000" w:themeColor="text1"/>
        </w:rPr>
      </w:pPr>
      <w:r w:rsidRPr="003124F6">
        <w:rPr>
          <w:color w:val="000000" w:themeColor="text1"/>
        </w:rPr>
        <w:t xml:space="preserve">Quality processes: are </w:t>
      </w:r>
      <w:r w:rsidR="00AA4D3A" w:rsidRPr="003124F6">
        <w:rPr>
          <w:color w:val="000000" w:themeColor="text1"/>
        </w:rPr>
        <w:t xml:space="preserve">relationship focuses; open, honest, respectful, ethical; acknowledging of history; </w:t>
      </w:r>
      <w:r w:rsidRPr="003124F6">
        <w:rPr>
          <w:color w:val="000000" w:themeColor="text1"/>
        </w:rPr>
        <w:t>and have a commitment to mutual learning and shared credit.</w:t>
      </w:r>
    </w:p>
    <w:p w14:paraId="01422FDE" w14:textId="50F1D4D3" w:rsidR="00637CF8" w:rsidRPr="003124F6" w:rsidRDefault="00637CF8" w:rsidP="00AA4D3A">
      <w:pPr>
        <w:pStyle w:val="ListParagraph"/>
        <w:numPr>
          <w:ilvl w:val="0"/>
          <w:numId w:val="6"/>
        </w:numPr>
        <w:spacing w:after="120"/>
        <w:rPr>
          <w:color w:val="000000" w:themeColor="text1"/>
        </w:rPr>
      </w:pPr>
      <w:r w:rsidRPr="003124F6">
        <w:rPr>
          <w:color w:val="000000" w:themeColor="text1"/>
        </w:rPr>
        <w:t>Meaningful outcomes: are tangible and relevant to communities.</w:t>
      </w:r>
    </w:p>
    <w:p w14:paraId="54DACA99" w14:textId="02820546" w:rsidR="00637CF8" w:rsidRPr="003124F6" w:rsidRDefault="00637CF8" w:rsidP="00AA4D3A">
      <w:pPr>
        <w:pStyle w:val="ListParagraph"/>
        <w:numPr>
          <w:ilvl w:val="0"/>
          <w:numId w:val="6"/>
        </w:numPr>
        <w:spacing w:after="120"/>
        <w:rPr>
          <w:color w:val="000000" w:themeColor="text1"/>
        </w:rPr>
      </w:pPr>
      <w:r w:rsidRPr="003124F6">
        <w:rPr>
          <w:color w:val="000000" w:themeColor="text1"/>
        </w:rPr>
        <w:t>Transformative experience: on multiple levels including personal, institutional, community-level, knowledge-based, and political.</w:t>
      </w:r>
    </w:p>
    <w:p w14:paraId="617DBC50" w14:textId="77777777" w:rsidR="00BA44AC" w:rsidRPr="003124F6" w:rsidRDefault="00BA44AC" w:rsidP="00AA4D3A">
      <w:pPr>
        <w:spacing w:after="120"/>
        <w:rPr>
          <w:color w:val="000000" w:themeColor="text1"/>
        </w:rPr>
      </w:pPr>
    </w:p>
    <w:p w14:paraId="40703037" w14:textId="15B445D7" w:rsidR="00F37908" w:rsidRPr="003124F6" w:rsidRDefault="008A591A" w:rsidP="00AA4D3A">
      <w:pPr>
        <w:spacing w:after="120"/>
        <w:rPr>
          <w:b/>
          <w:bCs/>
          <w:color w:val="000000" w:themeColor="text1"/>
        </w:rPr>
      </w:pPr>
      <w:r w:rsidRPr="003124F6">
        <w:rPr>
          <w:b/>
          <w:bCs/>
          <w:color w:val="000000" w:themeColor="text1"/>
        </w:rPr>
        <w:t>Purpos</w:t>
      </w:r>
      <w:r w:rsidR="00F07CA2" w:rsidRPr="003124F6">
        <w:rPr>
          <w:b/>
          <w:bCs/>
          <w:color w:val="000000" w:themeColor="text1"/>
        </w:rPr>
        <w:t xml:space="preserve">e </w:t>
      </w:r>
      <w:r w:rsidR="00AE1D2C" w:rsidRPr="003124F6">
        <w:rPr>
          <w:b/>
          <w:bCs/>
          <w:color w:val="000000" w:themeColor="text1"/>
        </w:rPr>
        <w:t xml:space="preserve">of Community Engaged Scholarship </w:t>
      </w:r>
      <w:r w:rsidR="00637CF8" w:rsidRPr="003124F6">
        <w:rPr>
          <w:b/>
          <w:bCs/>
          <w:color w:val="000000" w:themeColor="text1"/>
        </w:rPr>
        <w:t>for Health</w:t>
      </w:r>
    </w:p>
    <w:p w14:paraId="147B97B1" w14:textId="03253F6C" w:rsidR="00F07CA2" w:rsidRDefault="00360104" w:rsidP="00AA4D3A">
      <w:pPr>
        <w:spacing w:after="120"/>
        <w:rPr>
          <w:color w:val="000000" w:themeColor="text1"/>
        </w:rPr>
      </w:pPr>
      <w:r w:rsidRPr="003124F6">
        <w:rPr>
          <w:color w:val="000000" w:themeColor="text1"/>
        </w:rPr>
        <w:t>When conducted in a thoughtful and authentic manner, c</w:t>
      </w:r>
      <w:r w:rsidR="00F07CA2" w:rsidRPr="003124F6">
        <w:rPr>
          <w:color w:val="000000" w:themeColor="text1"/>
        </w:rPr>
        <w:t xml:space="preserve">ommunity </w:t>
      </w:r>
      <w:r w:rsidRPr="003124F6">
        <w:rPr>
          <w:color w:val="000000" w:themeColor="text1"/>
        </w:rPr>
        <w:t>e</w:t>
      </w:r>
      <w:r w:rsidR="00F07CA2" w:rsidRPr="003124F6">
        <w:rPr>
          <w:color w:val="000000" w:themeColor="text1"/>
        </w:rPr>
        <w:t xml:space="preserve">ngaged </w:t>
      </w:r>
      <w:r w:rsidRPr="003124F6">
        <w:rPr>
          <w:color w:val="000000" w:themeColor="text1"/>
        </w:rPr>
        <w:t>s</w:t>
      </w:r>
      <w:r w:rsidR="00F07CA2" w:rsidRPr="003124F6">
        <w:rPr>
          <w:color w:val="000000" w:themeColor="text1"/>
        </w:rPr>
        <w:t>cholarship serves a number of purposes for the enrichment of the university, community</w:t>
      </w:r>
      <w:r w:rsidRPr="003124F6">
        <w:rPr>
          <w:color w:val="000000" w:themeColor="text1"/>
        </w:rPr>
        <w:t>;</w:t>
      </w:r>
      <w:r w:rsidR="00F07CA2" w:rsidRPr="003124F6">
        <w:rPr>
          <w:color w:val="000000" w:themeColor="text1"/>
        </w:rPr>
        <w:t xml:space="preserve"> and </w:t>
      </w:r>
      <w:r w:rsidRPr="003124F6">
        <w:rPr>
          <w:color w:val="000000" w:themeColor="text1"/>
        </w:rPr>
        <w:t>their ability to more effectively address complex social issues related to health</w:t>
      </w:r>
      <w:r w:rsidR="00C66DF3">
        <w:rPr>
          <w:rStyle w:val="FootnoteReference"/>
          <w:color w:val="000000" w:themeColor="text1"/>
        </w:rPr>
        <w:footnoteReference w:id="2"/>
      </w:r>
      <w:r w:rsidRPr="003124F6">
        <w:rPr>
          <w:color w:val="000000" w:themeColor="text1"/>
        </w:rPr>
        <w:t>.</w:t>
      </w:r>
    </w:p>
    <w:p w14:paraId="46FECFE6" w14:textId="14FBBF38" w:rsidR="00A4369F" w:rsidRDefault="00A4369F" w:rsidP="00AA4D3A">
      <w:pPr>
        <w:spacing w:after="120"/>
        <w:rPr>
          <w:color w:val="000000" w:themeColor="text1"/>
        </w:rPr>
      </w:pPr>
    </w:p>
    <w:p w14:paraId="18E395CC" w14:textId="7ED5FD1E" w:rsidR="00A4369F" w:rsidRPr="003124F6" w:rsidRDefault="00A4369F" w:rsidP="007F1273">
      <w:pPr>
        <w:tabs>
          <w:tab w:val="left" w:pos="1200"/>
        </w:tabs>
        <w:spacing w:after="120"/>
        <w:rPr>
          <w:color w:val="000000" w:themeColor="text1"/>
        </w:rPr>
      </w:pPr>
      <w:r>
        <w:rPr>
          <w:color w:val="000000" w:themeColor="text1"/>
        </w:rPr>
        <w:t xml:space="preserve">Vision:  </w:t>
      </w:r>
    </w:p>
    <w:p w14:paraId="272F50F0" w14:textId="7BE7D5B5" w:rsidR="00360104" w:rsidRPr="003124F6" w:rsidRDefault="00360104" w:rsidP="00AA4D3A">
      <w:pPr>
        <w:spacing w:after="120"/>
        <w:rPr>
          <w:color w:val="000000" w:themeColor="text1"/>
        </w:rPr>
      </w:pPr>
      <w:r w:rsidRPr="003124F6">
        <w:rPr>
          <w:color w:val="000000" w:themeColor="text1"/>
        </w:rPr>
        <w:t xml:space="preserve">Value to the </w:t>
      </w:r>
      <w:r w:rsidR="00340868" w:rsidRPr="003124F6">
        <w:rPr>
          <w:color w:val="000000" w:themeColor="text1"/>
        </w:rPr>
        <w:t>u</w:t>
      </w:r>
      <w:r w:rsidRPr="003124F6">
        <w:rPr>
          <w:color w:val="000000" w:themeColor="text1"/>
        </w:rPr>
        <w:t>niversity</w:t>
      </w:r>
      <w:r w:rsidR="00340868" w:rsidRPr="003124F6">
        <w:rPr>
          <w:color w:val="000000" w:themeColor="text1"/>
        </w:rPr>
        <w:t>:</w:t>
      </w:r>
    </w:p>
    <w:p w14:paraId="55665D4E" w14:textId="4DC91353" w:rsidR="00AD5388" w:rsidRPr="003124F6" w:rsidRDefault="00360104" w:rsidP="00AA4D3A">
      <w:pPr>
        <w:spacing w:after="120"/>
        <w:ind w:left="720"/>
        <w:rPr>
          <w:color w:val="000000" w:themeColor="text1"/>
        </w:rPr>
      </w:pPr>
      <w:r w:rsidRPr="003124F6">
        <w:rPr>
          <w:color w:val="000000" w:themeColor="text1"/>
        </w:rPr>
        <w:t>Engages students in a high-impact practice (Kuh, 2008) that supports their learning, and increases the n</w:t>
      </w:r>
      <w:r w:rsidR="00AD5388" w:rsidRPr="003124F6">
        <w:rPr>
          <w:color w:val="000000" w:themeColor="text1"/>
        </w:rPr>
        <w:t>umber of graduates with community health-related skills, expertise and commitment</w:t>
      </w:r>
      <w:r w:rsidRPr="003124F6">
        <w:rPr>
          <w:color w:val="000000" w:themeColor="text1"/>
        </w:rPr>
        <w:t xml:space="preserve"> upon graduation.</w:t>
      </w:r>
    </w:p>
    <w:p w14:paraId="7F3708FC" w14:textId="0A138E79" w:rsidR="00AD5388" w:rsidRPr="003124F6" w:rsidRDefault="00360104" w:rsidP="00AA4D3A">
      <w:pPr>
        <w:spacing w:after="120"/>
        <w:ind w:left="720"/>
        <w:rPr>
          <w:color w:val="000000" w:themeColor="text1"/>
        </w:rPr>
      </w:pPr>
      <w:r w:rsidRPr="003124F6">
        <w:rPr>
          <w:color w:val="000000" w:themeColor="text1"/>
        </w:rPr>
        <w:t>With an increasing emphasis on addressing community issues, which most often require interdisciplinary work, greater funding opportunities are available for faculty and staff collaborating with one another and with their community partners (Stanton, 2008).</w:t>
      </w:r>
    </w:p>
    <w:p w14:paraId="128D2E7A" w14:textId="35F72767" w:rsidR="00237959" w:rsidRPr="003124F6" w:rsidRDefault="00340868" w:rsidP="00AA4D3A">
      <w:pPr>
        <w:spacing w:after="120"/>
        <w:ind w:left="720"/>
        <w:rPr>
          <w:color w:val="000000" w:themeColor="text1"/>
        </w:rPr>
      </w:pPr>
      <w:r w:rsidRPr="003124F6">
        <w:rPr>
          <w:color w:val="000000" w:themeColor="text1"/>
        </w:rPr>
        <w:t>Increases</w:t>
      </w:r>
      <w:r w:rsidR="00BD6E11" w:rsidRPr="003124F6">
        <w:rPr>
          <w:color w:val="000000" w:themeColor="text1"/>
        </w:rPr>
        <w:t xml:space="preserve"> the university’s </w:t>
      </w:r>
      <w:r w:rsidR="00AD5388" w:rsidRPr="003124F6">
        <w:rPr>
          <w:color w:val="000000" w:themeColor="text1"/>
        </w:rPr>
        <w:t>capacity to respond to community health needs</w:t>
      </w:r>
      <w:r w:rsidR="00BD6E11" w:rsidRPr="003124F6">
        <w:rPr>
          <w:color w:val="000000" w:themeColor="text1"/>
        </w:rPr>
        <w:t xml:space="preserve">, and thus increases the value </w:t>
      </w:r>
      <w:r w:rsidR="001D78BC" w:rsidRPr="003124F6">
        <w:rPr>
          <w:color w:val="000000" w:themeColor="text1"/>
        </w:rPr>
        <w:t xml:space="preserve">and reputation </w:t>
      </w:r>
      <w:r w:rsidR="00BD6E11" w:rsidRPr="003124F6">
        <w:rPr>
          <w:color w:val="000000" w:themeColor="text1"/>
        </w:rPr>
        <w:t xml:space="preserve">of the institution </w:t>
      </w:r>
      <w:r w:rsidR="001D78BC" w:rsidRPr="003124F6">
        <w:rPr>
          <w:color w:val="000000" w:themeColor="text1"/>
        </w:rPr>
        <w:t xml:space="preserve">from the perspective of </w:t>
      </w:r>
      <w:r w:rsidR="00BD6E11" w:rsidRPr="003124F6">
        <w:rPr>
          <w:color w:val="000000" w:themeColor="text1"/>
        </w:rPr>
        <w:t>the community.</w:t>
      </w:r>
    </w:p>
    <w:p w14:paraId="5429BFD1" w14:textId="37003F0C" w:rsidR="00BC2903" w:rsidRPr="003124F6" w:rsidRDefault="00BC2903" w:rsidP="00AA4D3A">
      <w:pPr>
        <w:spacing w:after="120"/>
        <w:rPr>
          <w:color w:val="000000" w:themeColor="text1"/>
        </w:rPr>
      </w:pPr>
      <w:r w:rsidRPr="003124F6">
        <w:rPr>
          <w:color w:val="000000" w:themeColor="text1"/>
        </w:rPr>
        <w:t>Value to the community</w:t>
      </w:r>
      <w:r w:rsidR="00340868" w:rsidRPr="003124F6">
        <w:rPr>
          <w:color w:val="000000" w:themeColor="text1"/>
        </w:rPr>
        <w:t>:</w:t>
      </w:r>
    </w:p>
    <w:p w14:paraId="273F86D8" w14:textId="6A785372" w:rsidR="00AD5388" w:rsidRPr="003124F6" w:rsidRDefault="00AD5388" w:rsidP="00AA4D3A">
      <w:pPr>
        <w:spacing w:after="120"/>
        <w:ind w:left="720"/>
        <w:rPr>
          <w:color w:val="000000" w:themeColor="text1"/>
        </w:rPr>
      </w:pPr>
      <w:r w:rsidRPr="003124F6">
        <w:rPr>
          <w:color w:val="000000" w:themeColor="text1"/>
        </w:rPr>
        <w:t>Improve</w:t>
      </w:r>
      <w:r w:rsidR="00340868" w:rsidRPr="003124F6">
        <w:rPr>
          <w:color w:val="000000" w:themeColor="text1"/>
        </w:rPr>
        <w:t xml:space="preserve">s the </w:t>
      </w:r>
      <w:r w:rsidRPr="003124F6">
        <w:rPr>
          <w:color w:val="000000" w:themeColor="text1"/>
        </w:rPr>
        <w:t>capacity of community partners to respond to health needs</w:t>
      </w:r>
      <w:r w:rsidR="00CA3294" w:rsidRPr="003124F6">
        <w:rPr>
          <w:color w:val="000000" w:themeColor="text1"/>
        </w:rPr>
        <w:t>; a product of the increased resources available through university-partnerships (e.g. policy briefs, workshops, program evaluations, etc</w:t>
      </w:r>
      <w:r w:rsidR="001D78BC" w:rsidRPr="003124F6">
        <w:rPr>
          <w:color w:val="000000" w:themeColor="text1"/>
        </w:rPr>
        <w:t>.</w:t>
      </w:r>
      <w:r w:rsidR="00CA3294" w:rsidRPr="003124F6">
        <w:rPr>
          <w:color w:val="000000" w:themeColor="text1"/>
        </w:rPr>
        <w:t>)</w:t>
      </w:r>
      <w:r w:rsidRPr="003124F6">
        <w:rPr>
          <w:color w:val="000000" w:themeColor="text1"/>
        </w:rPr>
        <w:t xml:space="preserve"> </w:t>
      </w:r>
      <w:r w:rsidR="00340868" w:rsidRPr="003124F6">
        <w:rPr>
          <w:color w:val="000000" w:themeColor="text1"/>
        </w:rPr>
        <w:t>(Pasick et al., 2010)</w:t>
      </w:r>
      <w:r w:rsidR="001D78BC" w:rsidRPr="003124F6">
        <w:rPr>
          <w:color w:val="000000" w:themeColor="text1"/>
        </w:rPr>
        <w:t>.</w:t>
      </w:r>
    </w:p>
    <w:p w14:paraId="525863C9" w14:textId="5D76698B" w:rsidR="00AD5388" w:rsidRPr="003124F6" w:rsidRDefault="00AD5388" w:rsidP="00AA4D3A">
      <w:pPr>
        <w:spacing w:after="120"/>
        <w:ind w:left="720"/>
        <w:rPr>
          <w:color w:val="000000" w:themeColor="text1"/>
        </w:rPr>
      </w:pPr>
      <w:r w:rsidRPr="003124F6">
        <w:rPr>
          <w:color w:val="000000" w:themeColor="text1"/>
        </w:rPr>
        <w:t>Increase</w:t>
      </w:r>
      <w:r w:rsidR="00340868" w:rsidRPr="003124F6">
        <w:rPr>
          <w:color w:val="000000" w:themeColor="text1"/>
        </w:rPr>
        <w:t>s the</w:t>
      </w:r>
      <w:r w:rsidRPr="003124F6">
        <w:rPr>
          <w:color w:val="000000" w:themeColor="text1"/>
        </w:rPr>
        <w:t xml:space="preserve"> investment in and better alignment of sustainable resources for community health</w:t>
      </w:r>
      <w:r w:rsidR="00340868" w:rsidRPr="003124F6">
        <w:rPr>
          <w:color w:val="000000" w:themeColor="text1"/>
        </w:rPr>
        <w:t xml:space="preserve"> (Pasick et al., 2010)</w:t>
      </w:r>
      <w:r w:rsidR="001D78BC" w:rsidRPr="003124F6">
        <w:rPr>
          <w:color w:val="000000" w:themeColor="text1"/>
        </w:rPr>
        <w:t>.</w:t>
      </w:r>
    </w:p>
    <w:p w14:paraId="22BBD8BB" w14:textId="3F7C4B2C" w:rsidR="00F927B1" w:rsidRPr="003124F6" w:rsidRDefault="00F927B1" w:rsidP="00AA4D3A">
      <w:pPr>
        <w:spacing w:after="120"/>
        <w:ind w:left="720"/>
        <w:rPr>
          <w:color w:val="000000" w:themeColor="text1"/>
        </w:rPr>
      </w:pPr>
      <w:r w:rsidRPr="003124F6">
        <w:rPr>
          <w:color w:val="000000" w:themeColor="text1"/>
        </w:rPr>
        <w:lastRenderedPageBreak/>
        <w:t xml:space="preserve">Improves the </w:t>
      </w:r>
      <w:r w:rsidR="00AA4D3A" w:rsidRPr="003124F6">
        <w:rPr>
          <w:color w:val="000000" w:themeColor="text1"/>
        </w:rPr>
        <w:t xml:space="preserve">overall </w:t>
      </w:r>
      <w:r w:rsidRPr="003124F6">
        <w:rPr>
          <w:color w:val="000000" w:themeColor="text1"/>
        </w:rPr>
        <w:t xml:space="preserve">experience of community </w:t>
      </w:r>
      <w:r w:rsidR="00AA4D3A" w:rsidRPr="003124F6">
        <w:rPr>
          <w:color w:val="000000" w:themeColor="text1"/>
        </w:rPr>
        <w:t>members</w:t>
      </w:r>
      <w:r w:rsidRPr="003124F6">
        <w:rPr>
          <w:color w:val="000000" w:themeColor="text1"/>
        </w:rPr>
        <w:t xml:space="preserve"> in collaborating with the university</w:t>
      </w:r>
      <w:r w:rsidR="00AA4D3A" w:rsidRPr="003124F6">
        <w:rPr>
          <w:color w:val="000000" w:themeColor="text1"/>
        </w:rPr>
        <w:t xml:space="preserve"> and local residents’ interest in having the university as a citizen of their community</w:t>
      </w:r>
      <w:r w:rsidRPr="003124F6">
        <w:rPr>
          <w:color w:val="000000" w:themeColor="text1"/>
        </w:rPr>
        <w:t>.</w:t>
      </w:r>
    </w:p>
    <w:p w14:paraId="65EFE9D1" w14:textId="62FD61C9" w:rsidR="00DE23A8" w:rsidRPr="003124F6" w:rsidRDefault="00AD1CF6" w:rsidP="00AA4D3A">
      <w:pPr>
        <w:spacing w:after="120"/>
        <w:rPr>
          <w:b/>
          <w:bCs/>
          <w:color w:val="000000" w:themeColor="text1"/>
        </w:rPr>
      </w:pPr>
      <w:r>
        <w:rPr>
          <w:b/>
          <w:bCs/>
          <w:color w:val="000000" w:themeColor="text1"/>
        </w:rPr>
        <w:t>R</w:t>
      </w:r>
      <w:r w:rsidR="00DE23A8" w:rsidRPr="003124F6">
        <w:rPr>
          <w:b/>
          <w:bCs/>
          <w:color w:val="000000" w:themeColor="text1"/>
        </w:rPr>
        <w:t>eferences</w:t>
      </w:r>
      <w:r w:rsidR="006366B7" w:rsidRPr="003124F6">
        <w:rPr>
          <w:b/>
          <w:bCs/>
          <w:color w:val="000000" w:themeColor="text1"/>
        </w:rPr>
        <w:t xml:space="preserve"> &amp; Additional Resources</w:t>
      </w:r>
    </w:p>
    <w:p w14:paraId="73A28ECE" w14:textId="5BC633D1" w:rsidR="00375306" w:rsidRPr="003124F6" w:rsidRDefault="00375306" w:rsidP="00AA4D3A">
      <w:pPr>
        <w:spacing w:after="120"/>
        <w:rPr>
          <w:rStyle w:val="Hyperlink"/>
          <w:color w:val="000000" w:themeColor="text1"/>
        </w:rPr>
      </w:pPr>
      <w:r w:rsidRPr="003124F6">
        <w:rPr>
          <w:color w:val="000000" w:themeColor="text1"/>
        </w:rPr>
        <w:t>Campus-Community Partnerships for Health</w:t>
      </w:r>
      <w:r w:rsidR="00A74454" w:rsidRPr="003124F6">
        <w:rPr>
          <w:color w:val="000000" w:themeColor="text1"/>
        </w:rPr>
        <w:t xml:space="preserve"> </w:t>
      </w:r>
      <w:hyperlink r:id="rId12" w:history="1">
        <w:r w:rsidR="00A74454" w:rsidRPr="003124F6">
          <w:rPr>
            <w:rStyle w:val="Hyperlink"/>
            <w:color w:val="000000" w:themeColor="text1"/>
          </w:rPr>
          <w:t>https://www.ccphealth.org/</w:t>
        </w:r>
      </w:hyperlink>
      <w:r w:rsidR="00AA4D3A" w:rsidRPr="003124F6">
        <w:rPr>
          <w:rStyle w:val="Hyperlink"/>
          <w:color w:val="000000" w:themeColor="text1"/>
        </w:rPr>
        <w:t xml:space="preserve"> </w:t>
      </w:r>
    </w:p>
    <w:p w14:paraId="394099D9" w14:textId="5F8DBE30" w:rsidR="00AA4D3A" w:rsidRPr="003124F6" w:rsidRDefault="00AA4D3A" w:rsidP="00AA4D3A">
      <w:pPr>
        <w:spacing w:after="120"/>
        <w:rPr>
          <w:color w:val="000000" w:themeColor="text1"/>
        </w:rPr>
      </w:pPr>
      <w:r w:rsidRPr="003124F6">
        <w:rPr>
          <w:color w:val="000000" w:themeColor="text1"/>
          <w:shd w:val="clear" w:color="auto" w:fill="FFFFFF"/>
        </w:rPr>
        <w:t>Campus Community Partnerships for Health [CCPH] (2013). CCPH Board of Directors. Position Statement on Authentic Partnerships. Community-Campus Partnerships for Health, 2013.</w:t>
      </w:r>
    </w:p>
    <w:p w14:paraId="7461AEBF" w14:textId="65B2FBE1" w:rsidR="001411E7" w:rsidRPr="003124F6" w:rsidRDefault="001411E7" w:rsidP="00AA4D3A">
      <w:pPr>
        <w:spacing w:after="120"/>
        <w:rPr>
          <w:color w:val="000000" w:themeColor="text1"/>
        </w:rPr>
      </w:pPr>
      <w:r w:rsidRPr="003124F6">
        <w:rPr>
          <w:color w:val="000000" w:themeColor="text1"/>
        </w:rPr>
        <w:t>Commission on Community-Engaged Scholarship in the Health Professions</w:t>
      </w:r>
      <w:r w:rsidR="003436ED" w:rsidRPr="003124F6">
        <w:rPr>
          <w:color w:val="000000" w:themeColor="text1"/>
        </w:rPr>
        <w:t xml:space="preserve"> [CCESHP</w:t>
      </w:r>
      <w:r w:rsidR="009C5DC0" w:rsidRPr="003124F6">
        <w:rPr>
          <w:color w:val="000000" w:themeColor="text1"/>
        </w:rPr>
        <w:t>]</w:t>
      </w:r>
      <w:r w:rsidR="003436ED" w:rsidRPr="003124F6">
        <w:rPr>
          <w:color w:val="000000" w:themeColor="text1"/>
        </w:rPr>
        <w:t xml:space="preserve">. </w:t>
      </w:r>
      <w:r w:rsidR="00762C9D" w:rsidRPr="003124F6">
        <w:rPr>
          <w:color w:val="000000" w:themeColor="text1"/>
        </w:rPr>
        <w:t>(2005</w:t>
      </w:r>
      <w:r w:rsidR="00762C9D" w:rsidRPr="003124F6">
        <w:rPr>
          <w:i/>
          <w:iCs/>
          <w:color w:val="000000" w:themeColor="text1"/>
        </w:rPr>
        <w:t>)</w:t>
      </w:r>
      <w:r w:rsidRPr="003124F6">
        <w:rPr>
          <w:i/>
          <w:iCs/>
          <w:color w:val="000000" w:themeColor="text1"/>
        </w:rPr>
        <w:t>. Linking Scholarship and Communities.</w:t>
      </w:r>
      <w:r w:rsidRPr="003124F6">
        <w:rPr>
          <w:color w:val="000000" w:themeColor="text1"/>
        </w:rPr>
        <w:t xml:space="preserve"> Seattle, WA: Community-Campus Partnerships for Health</w:t>
      </w:r>
      <w:r w:rsidR="009C5DC0" w:rsidRPr="003124F6">
        <w:rPr>
          <w:color w:val="000000" w:themeColor="text1"/>
        </w:rPr>
        <w:t>.</w:t>
      </w:r>
    </w:p>
    <w:p w14:paraId="1EEF86E5" w14:textId="1B66F0D8" w:rsidR="006366B7" w:rsidRPr="003124F6" w:rsidRDefault="00F24887" w:rsidP="00AA4D3A">
      <w:pPr>
        <w:spacing w:after="120"/>
        <w:rPr>
          <w:color w:val="000000" w:themeColor="text1"/>
        </w:rPr>
      </w:pPr>
      <w:r w:rsidRPr="003124F6">
        <w:rPr>
          <w:color w:val="000000" w:themeColor="text1"/>
        </w:rPr>
        <w:t xml:space="preserve">Furco, </w:t>
      </w:r>
      <w:r w:rsidR="00EF102E" w:rsidRPr="003124F6">
        <w:rPr>
          <w:color w:val="000000" w:themeColor="text1"/>
        </w:rPr>
        <w:t>A. (2010). The engaged campus: Toward a comprehensive approach to public engag</w:t>
      </w:r>
      <w:r w:rsidR="00951237" w:rsidRPr="003124F6">
        <w:rPr>
          <w:color w:val="000000" w:themeColor="text1"/>
        </w:rPr>
        <w:t xml:space="preserve">ement. </w:t>
      </w:r>
      <w:r w:rsidR="00951237" w:rsidRPr="003124F6">
        <w:rPr>
          <w:i/>
          <w:iCs/>
          <w:color w:val="000000" w:themeColor="text1"/>
        </w:rPr>
        <w:t xml:space="preserve">British Journal of Educational Studies, </w:t>
      </w:r>
      <w:r w:rsidR="00951237" w:rsidRPr="003124F6">
        <w:rPr>
          <w:color w:val="000000" w:themeColor="text1"/>
        </w:rPr>
        <w:t>58 (4), p</w:t>
      </w:r>
      <w:r w:rsidR="00B411C3" w:rsidRPr="003124F6">
        <w:rPr>
          <w:color w:val="000000" w:themeColor="text1"/>
        </w:rPr>
        <w:t>375-390.</w:t>
      </w:r>
    </w:p>
    <w:p w14:paraId="5732410B" w14:textId="2479E422" w:rsidR="000A25F7" w:rsidRPr="003124F6" w:rsidRDefault="000A25F7" w:rsidP="00AA4D3A">
      <w:pPr>
        <w:spacing w:after="120"/>
        <w:rPr>
          <w:color w:val="000000" w:themeColor="text1"/>
        </w:rPr>
      </w:pPr>
      <w:r w:rsidRPr="003124F6">
        <w:rPr>
          <w:color w:val="000000" w:themeColor="text1"/>
        </w:rPr>
        <w:t xml:space="preserve">Jordan C (Editor). (2007). </w:t>
      </w:r>
      <w:r w:rsidRPr="003124F6">
        <w:rPr>
          <w:i/>
          <w:iCs/>
          <w:color w:val="000000" w:themeColor="text1"/>
        </w:rPr>
        <w:t>Community-Engaged Scholarship Review, Promotion &amp; Tenure Package</w:t>
      </w:r>
      <w:r w:rsidRPr="003124F6">
        <w:rPr>
          <w:color w:val="000000" w:themeColor="text1"/>
        </w:rPr>
        <w:t>. Peer Review Workgroup, Community-Engaged Scholarship for Health Collaborative, Community-Campus Partnerships for Health.</w:t>
      </w:r>
      <w:r w:rsidR="00C14120" w:rsidRPr="003124F6">
        <w:rPr>
          <w:color w:val="000000" w:themeColor="text1"/>
        </w:rPr>
        <w:t xml:space="preserve"> </w:t>
      </w:r>
      <w:hyperlink r:id="rId13" w:history="1">
        <w:r w:rsidR="00756AC0" w:rsidRPr="003124F6">
          <w:rPr>
            <w:rStyle w:val="Hyperlink"/>
            <w:color w:val="000000" w:themeColor="text1"/>
          </w:rPr>
          <w:t>https://depts.washington.edu/ccph/pdf_files/CES_RPT_Package.pdf</w:t>
        </w:r>
      </w:hyperlink>
    </w:p>
    <w:p w14:paraId="13FBFA1E" w14:textId="212E26B2" w:rsidR="00360104" w:rsidRPr="003124F6" w:rsidRDefault="00360104" w:rsidP="00AA4D3A">
      <w:pPr>
        <w:spacing w:after="120"/>
        <w:rPr>
          <w:color w:val="000000" w:themeColor="text1"/>
        </w:rPr>
      </w:pPr>
      <w:r w:rsidRPr="003124F6">
        <w:rPr>
          <w:color w:val="000000" w:themeColor="text1"/>
        </w:rPr>
        <w:t xml:space="preserve">Kuh, G.D. (2008). High-impact educational practices: What they are, who has access to them, and why they matter. Washington, DC: Association of American Colleges and Universities. </w:t>
      </w:r>
    </w:p>
    <w:p w14:paraId="40E731A4" w14:textId="493F1456" w:rsidR="00DE23A8" w:rsidRPr="003124F6" w:rsidRDefault="00282966" w:rsidP="00AA4D3A">
      <w:pPr>
        <w:spacing w:after="120"/>
        <w:rPr>
          <w:color w:val="000000" w:themeColor="text1"/>
        </w:rPr>
      </w:pPr>
      <w:r w:rsidRPr="003124F6">
        <w:rPr>
          <w:color w:val="000000" w:themeColor="text1"/>
        </w:rPr>
        <w:t>Michigan State University</w:t>
      </w:r>
      <w:r w:rsidR="00EF47FF" w:rsidRPr="003124F6">
        <w:rPr>
          <w:color w:val="000000" w:themeColor="text1"/>
        </w:rPr>
        <w:t>,</w:t>
      </w:r>
      <w:r w:rsidRPr="003124F6">
        <w:rPr>
          <w:color w:val="000000" w:themeColor="text1"/>
        </w:rPr>
        <w:t xml:space="preserve"> Outreach and Engagement </w:t>
      </w:r>
      <w:hyperlink r:id="rId14" w:history="1">
        <w:r w:rsidRPr="003124F6">
          <w:rPr>
            <w:rStyle w:val="Hyperlink"/>
            <w:color w:val="000000" w:themeColor="text1"/>
          </w:rPr>
          <w:t>https://engage.msu.edu/about/overview/common-types-of-community-engaged-scholarship-reported-by-faculty</w:t>
        </w:r>
      </w:hyperlink>
    </w:p>
    <w:p w14:paraId="1574CC2D" w14:textId="10FBA11A" w:rsidR="00340868" w:rsidRPr="003124F6" w:rsidRDefault="00340868" w:rsidP="00AA4D3A">
      <w:pPr>
        <w:spacing w:after="120"/>
        <w:rPr>
          <w:color w:val="000000" w:themeColor="text1"/>
        </w:rPr>
      </w:pPr>
      <w:r w:rsidRPr="003124F6">
        <w:rPr>
          <w:color w:val="000000" w:themeColor="text1"/>
        </w:rPr>
        <w:t>Pasick, R., Oliva, G., Goldstein, E., &amp; Nguyen, T. (2010). Community-engaged research with community-based organizations: A resource manual for UCSF researchers. From the series: UCSF Clinical and Translational Science Institute (CTSI) Resource Manuals and Guides to Community-Engaged Research, P. Fleisher, Ed. San Francisco, CA: Clinical Translational Science Institute Community Engagement Program, University of California San Francisco.</w:t>
      </w:r>
    </w:p>
    <w:p w14:paraId="3D122612" w14:textId="5AAC0CD2" w:rsidR="00360104" w:rsidRPr="003124F6" w:rsidRDefault="00360104" w:rsidP="00AA4D3A">
      <w:pPr>
        <w:spacing w:after="120"/>
        <w:rPr>
          <w:color w:val="000000" w:themeColor="text1"/>
        </w:rPr>
      </w:pPr>
      <w:r w:rsidRPr="003124F6">
        <w:rPr>
          <w:color w:val="000000" w:themeColor="text1"/>
        </w:rPr>
        <w:t xml:space="preserve">Stanton, T.K. (2008). </w:t>
      </w:r>
      <w:r w:rsidRPr="003124F6">
        <w:rPr>
          <w:i/>
          <w:color w:val="000000" w:themeColor="text1"/>
        </w:rPr>
        <w:t>New times demand new scholarship: Opportunities and challenges for engagement at research universities</w:t>
      </w:r>
      <w:r w:rsidRPr="003124F6">
        <w:rPr>
          <w:color w:val="000000" w:themeColor="text1"/>
        </w:rPr>
        <w:t>. Education, Citizenship, and Social Justice 3(1), 19-24.</w:t>
      </w:r>
    </w:p>
    <w:p w14:paraId="1C9F1166" w14:textId="021A1131" w:rsidR="00EF47FF" w:rsidRPr="003124F6" w:rsidRDefault="00EF47FF" w:rsidP="00AA4D3A">
      <w:pPr>
        <w:spacing w:after="120"/>
        <w:rPr>
          <w:color w:val="000000" w:themeColor="text1"/>
        </w:rPr>
      </w:pPr>
      <w:r w:rsidRPr="003124F6">
        <w:rPr>
          <w:color w:val="000000" w:themeColor="text1"/>
        </w:rPr>
        <w:t xml:space="preserve">University of South Florida, </w:t>
      </w:r>
      <w:r w:rsidR="004D0A63" w:rsidRPr="003124F6">
        <w:rPr>
          <w:color w:val="000000" w:themeColor="text1"/>
        </w:rPr>
        <w:t xml:space="preserve">Office of Community Engagement and </w:t>
      </w:r>
      <w:r w:rsidR="0038331B" w:rsidRPr="003124F6">
        <w:rPr>
          <w:color w:val="000000" w:themeColor="text1"/>
        </w:rPr>
        <w:t xml:space="preserve">Partnerships </w:t>
      </w:r>
      <w:hyperlink r:id="rId15" w:history="1">
        <w:r w:rsidR="00AF0B0B" w:rsidRPr="003124F6">
          <w:rPr>
            <w:rStyle w:val="Hyperlink"/>
            <w:color w:val="000000" w:themeColor="text1"/>
          </w:rPr>
          <w:t>https://www.usf.edu/engagement/faculty/community-engaged-scholarship-toolkit.aspx</w:t>
        </w:r>
      </w:hyperlink>
    </w:p>
    <w:sectPr w:rsidR="00EF47FF" w:rsidRPr="003124F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338D" w14:textId="77777777" w:rsidR="005B5D4F" w:rsidRDefault="005B5D4F" w:rsidP="00F927B1">
      <w:pPr>
        <w:spacing w:after="0" w:line="240" w:lineRule="auto"/>
      </w:pPr>
      <w:r>
        <w:separator/>
      </w:r>
    </w:p>
  </w:endnote>
  <w:endnote w:type="continuationSeparator" w:id="0">
    <w:p w14:paraId="2B71376F" w14:textId="77777777" w:rsidR="005B5D4F" w:rsidRDefault="005B5D4F" w:rsidP="00F9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627551"/>
      <w:docPartObj>
        <w:docPartGallery w:val="Page Numbers (Bottom of Page)"/>
        <w:docPartUnique/>
      </w:docPartObj>
    </w:sdtPr>
    <w:sdtEndPr>
      <w:rPr>
        <w:noProof/>
      </w:rPr>
    </w:sdtEndPr>
    <w:sdtContent>
      <w:p w14:paraId="590FFCD1" w14:textId="738533AE" w:rsidR="0087228C" w:rsidRDefault="0087228C">
        <w:pPr>
          <w:pStyle w:val="Footer"/>
        </w:pPr>
        <w:r>
          <w:fldChar w:fldCharType="begin"/>
        </w:r>
        <w:r>
          <w:instrText xml:space="preserve"> PAGE   \* MERGEFORMAT </w:instrText>
        </w:r>
        <w:r>
          <w:fldChar w:fldCharType="separate"/>
        </w:r>
        <w:r w:rsidR="00BC6289">
          <w:rPr>
            <w:noProof/>
          </w:rPr>
          <w:t>4</w:t>
        </w:r>
        <w:r>
          <w:rPr>
            <w:noProof/>
          </w:rPr>
          <w:fldChar w:fldCharType="end"/>
        </w:r>
      </w:p>
    </w:sdtContent>
  </w:sdt>
  <w:p w14:paraId="0BA34B18" w14:textId="77777777" w:rsidR="0087228C" w:rsidRDefault="0087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CABD" w14:textId="77777777" w:rsidR="005B5D4F" w:rsidRDefault="005B5D4F" w:rsidP="00F927B1">
      <w:pPr>
        <w:spacing w:after="0" w:line="240" w:lineRule="auto"/>
      </w:pPr>
      <w:r>
        <w:separator/>
      </w:r>
    </w:p>
  </w:footnote>
  <w:footnote w:type="continuationSeparator" w:id="0">
    <w:p w14:paraId="4AC7F1A6" w14:textId="77777777" w:rsidR="005B5D4F" w:rsidRDefault="005B5D4F" w:rsidP="00F927B1">
      <w:pPr>
        <w:spacing w:after="0" w:line="240" w:lineRule="auto"/>
      </w:pPr>
      <w:r>
        <w:continuationSeparator/>
      </w:r>
    </w:p>
  </w:footnote>
  <w:footnote w:id="1">
    <w:p w14:paraId="66796C56" w14:textId="3AE7E84F" w:rsidR="003124F6" w:rsidRDefault="003124F6">
      <w:pPr>
        <w:pStyle w:val="FootnoteText"/>
      </w:pPr>
      <w:r>
        <w:rPr>
          <w:rStyle w:val="FootnoteReference"/>
        </w:rPr>
        <w:footnoteRef/>
      </w:r>
      <w:r>
        <w:t xml:space="preserve"> Adapted from “Community Engaged Teaching and Learning” section at University Outreach and Engagement at Michigan State University. See reference for more details.</w:t>
      </w:r>
    </w:p>
  </w:footnote>
  <w:footnote w:id="2">
    <w:p w14:paraId="62090EA7" w14:textId="6D2B3FCF" w:rsidR="00C66DF3" w:rsidRDefault="00C66DF3">
      <w:pPr>
        <w:pStyle w:val="FootnoteText"/>
      </w:pPr>
      <w:r>
        <w:rPr>
          <w:rStyle w:val="FootnoteReference"/>
        </w:rPr>
        <w:footnoteRef/>
      </w:r>
      <w:r>
        <w:t xml:space="preserve"> </w:t>
      </w:r>
      <w:r w:rsidR="003133D0">
        <w:t>We believe there may be additional value to both the university and the community in conducting community engaged scholarship, but will refine this list after listening to our community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065"/>
    <w:multiLevelType w:val="multilevel"/>
    <w:tmpl w:val="5C7C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1C42"/>
    <w:multiLevelType w:val="multilevel"/>
    <w:tmpl w:val="8962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61741"/>
    <w:multiLevelType w:val="multilevel"/>
    <w:tmpl w:val="45BA4D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6389F"/>
    <w:multiLevelType w:val="hybridMultilevel"/>
    <w:tmpl w:val="BE0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00235"/>
    <w:multiLevelType w:val="multilevel"/>
    <w:tmpl w:val="C750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140D2"/>
    <w:multiLevelType w:val="multilevel"/>
    <w:tmpl w:val="106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2B"/>
    <w:rsid w:val="0001429D"/>
    <w:rsid w:val="00027634"/>
    <w:rsid w:val="00027F4D"/>
    <w:rsid w:val="000512FE"/>
    <w:rsid w:val="00085A66"/>
    <w:rsid w:val="000914CA"/>
    <w:rsid w:val="000A25F7"/>
    <w:rsid w:val="000B58FC"/>
    <w:rsid w:val="000D3496"/>
    <w:rsid w:val="000F5223"/>
    <w:rsid w:val="00115728"/>
    <w:rsid w:val="00134E1A"/>
    <w:rsid w:val="001411E7"/>
    <w:rsid w:val="00161592"/>
    <w:rsid w:val="00163C2A"/>
    <w:rsid w:val="00180368"/>
    <w:rsid w:val="0018511E"/>
    <w:rsid w:val="0019682A"/>
    <w:rsid w:val="001C5856"/>
    <w:rsid w:val="001C651C"/>
    <w:rsid w:val="001D06D3"/>
    <w:rsid w:val="001D78BC"/>
    <w:rsid w:val="001D7ABC"/>
    <w:rsid w:val="001E0E76"/>
    <w:rsid w:val="00212704"/>
    <w:rsid w:val="00237959"/>
    <w:rsid w:val="00277F6B"/>
    <w:rsid w:val="00282966"/>
    <w:rsid w:val="00286CDB"/>
    <w:rsid w:val="002A02E5"/>
    <w:rsid w:val="002A6BE4"/>
    <w:rsid w:val="002A6FA9"/>
    <w:rsid w:val="002C0A89"/>
    <w:rsid w:val="002C27AB"/>
    <w:rsid w:val="002D3361"/>
    <w:rsid w:val="002F1F41"/>
    <w:rsid w:val="00303DB6"/>
    <w:rsid w:val="003124F6"/>
    <w:rsid w:val="003133D0"/>
    <w:rsid w:val="00330C9E"/>
    <w:rsid w:val="00340868"/>
    <w:rsid w:val="003436ED"/>
    <w:rsid w:val="00350907"/>
    <w:rsid w:val="00360104"/>
    <w:rsid w:val="00370DFE"/>
    <w:rsid w:val="00373759"/>
    <w:rsid w:val="00375306"/>
    <w:rsid w:val="0038331B"/>
    <w:rsid w:val="003B6CEF"/>
    <w:rsid w:val="003E3A01"/>
    <w:rsid w:val="003F75E7"/>
    <w:rsid w:val="004209A8"/>
    <w:rsid w:val="00461D59"/>
    <w:rsid w:val="004623A2"/>
    <w:rsid w:val="004627F3"/>
    <w:rsid w:val="004664C9"/>
    <w:rsid w:val="00471BC1"/>
    <w:rsid w:val="004754E1"/>
    <w:rsid w:val="004A2E64"/>
    <w:rsid w:val="004C77D2"/>
    <w:rsid w:val="004D0A63"/>
    <w:rsid w:val="004E613D"/>
    <w:rsid w:val="004F02D2"/>
    <w:rsid w:val="004F1036"/>
    <w:rsid w:val="0050230F"/>
    <w:rsid w:val="00534C36"/>
    <w:rsid w:val="00536C0D"/>
    <w:rsid w:val="00545AFA"/>
    <w:rsid w:val="00561BD6"/>
    <w:rsid w:val="005B5D4F"/>
    <w:rsid w:val="005C0575"/>
    <w:rsid w:val="005D5AAD"/>
    <w:rsid w:val="005E6C5E"/>
    <w:rsid w:val="005F213F"/>
    <w:rsid w:val="006174B5"/>
    <w:rsid w:val="006366B7"/>
    <w:rsid w:val="00637CF8"/>
    <w:rsid w:val="0064133C"/>
    <w:rsid w:val="006531B8"/>
    <w:rsid w:val="00654EDD"/>
    <w:rsid w:val="00662D16"/>
    <w:rsid w:val="0066682D"/>
    <w:rsid w:val="006847B6"/>
    <w:rsid w:val="00690A21"/>
    <w:rsid w:val="00692569"/>
    <w:rsid w:val="006A199A"/>
    <w:rsid w:val="006F18DD"/>
    <w:rsid w:val="00723578"/>
    <w:rsid w:val="00724D7A"/>
    <w:rsid w:val="007316B3"/>
    <w:rsid w:val="0073282B"/>
    <w:rsid w:val="00756AC0"/>
    <w:rsid w:val="00762C9D"/>
    <w:rsid w:val="007935A7"/>
    <w:rsid w:val="007C37AC"/>
    <w:rsid w:val="007D7E9A"/>
    <w:rsid w:val="007E233A"/>
    <w:rsid w:val="007E31BF"/>
    <w:rsid w:val="007F1273"/>
    <w:rsid w:val="007F319B"/>
    <w:rsid w:val="008112B4"/>
    <w:rsid w:val="00816678"/>
    <w:rsid w:val="00837A38"/>
    <w:rsid w:val="0084435E"/>
    <w:rsid w:val="008469AE"/>
    <w:rsid w:val="0087228C"/>
    <w:rsid w:val="0087589E"/>
    <w:rsid w:val="00891F3B"/>
    <w:rsid w:val="008A591A"/>
    <w:rsid w:val="008E4F50"/>
    <w:rsid w:val="009110C2"/>
    <w:rsid w:val="00914F45"/>
    <w:rsid w:val="00920825"/>
    <w:rsid w:val="009247F1"/>
    <w:rsid w:val="00926449"/>
    <w:rsid w:val="009313A7"/>
    <w:rsid w:val="00951237"/>
    <w:rsid w:val="00953EDD"/>
    <w:rsid w:val="0097618E"/>
    <w:rsid w:val="00992EBB"/>
    <w:rsid w:val="009C5DC0"/>
    <w:rsid w:val="009C614E"/>
    <w:rsid w:val="009C6716"/>
    <w:rsid w:val="009D4847"/>
    <w:rsid w:val="009E276F"/>
    <w:rsid w:val="009E4DD9"/>
    <w:rsid w:val="009F7BC1"/>
    <w:rsid w:val="00A27FCF"/>
    <w:rsid w:val="00A3262B"/>
    <w:rsid w:val="00A3499E"/>
    <w:rsid w:val="00A37AD7"/>
    <w:rsid w:val="00A4369F"/>
    <w:rsid w:val="00A523ED"/>
    <w:rsid w:val="00A54784"/>
    <w:rsid w:val="00A74454"/>
    <w:rsid w:val="00A87188"/>
    <w:rsid w:val="00AA0B4F"/>
    <w:rsid w:val="00AA2A76"/>
    <w:rsid w:val="00AA4D3A"/>
    <w:rsid w:val="00AA57C5"/>
    <w:rsid w:val="00AB5A10"/>
    <w:rsid w:val="00AB71B6"/>
    <w:rsid w:val="00AC7BD0"/>
    <w:rsid w:val="00AD1CF6"/>
    <w:rsid w:val="00AD5388"/>
    <w:rsid w:val="00AE1D2C"/>
    <w:rsid w:val="00AF0B0B"/>
    <w:rsid w:val="00AF5437"/>
    <w:rsid w:val="00B00CCF"/>
    <w:rsid w:val="00B411C3"/>
    <w:rsid w:val="00B45FF7"/>
    <w:rsid w:val="00B56A98"/>
    <w:rsid w:val="00B62B4E"/>
    <w:rsid w:val="00B704F6"/>
    <w:rsid w:val="00B77DA9"/>
    <w:rsid w:val="00B90792"/>
    <w:rsid w:val="00BA44AC"/>
    <w:rsid w:val="00BC2903"/>
    <w:rsid w:val="00BC4C80"/>
    <w:rsid w:val="00BC6289"/>
    <w:rsid w:val="00BD6E11"/>
    <w:rsid w:val="00BF008E"/>
    <w:rsid w:val="00BF5BBC"/>
    <w:rsid w:val="00C14120"/>
    <w:rsid w:val="00C1482F"/>
    <w:rsid w:val="00C23699"/>
    <w:rsid w:val="00C5183C"/>
    <w:rsid w:val="00C66DF3"/>
    <w:rsid w:val="00C743C7"/>
    <w:rsid w:val="00CA3294"/>
    <w:rsid w:val="00CB0671"/>
    <w:rsid w:val="00CB285E"/>
    <w:rsid w:val="00CE15B8"/>
    <w:rsid w:val="00CF2878"/>
    <w:rsid w:val="00D00D5A"/>
    <w:rsid w:val="00D01DFA"/>
    <w:rsid w:val="00D02054"/>
    <w:rsid w:val="00D20302"/>
    <w:rsid w:val="00D25620"/>
    <w:rsid w:val="00D26656"/>
    <w:rsid w:val="00D37B5A"/>
    <w:rsid w:val="00D9323E"/>
    <w:rsid w:val="00D94B7B"/>
    <w:rsid w:val="00DB3CBA"/>
    <w:rsid w:val="00DC20E4"/>
    <w:rsid w:val="00DD3E0B"/>
    <w:rsid w:val="00DE23A8"/>
    <w:rsid w:val="00DF170F"/>
    <w:rsid w:val="00E12906"/>
    <w:rsid w:val="00E41899"/>
    <w:rsid w:val="00E52559"/>
    <w:rsid w:val="00E70A3D"/>
    <w:rsid w:val="00E71015"/>
    <w:rsid w:val="00E739B1"/>
    <w:rsid w:val="00E80FD5"/>
    <w:rsid w:val="00E818E2"/>
    <w:rsid w:val="00E86AE1"/>
    <w:rsid w:val="00EC752D"/>
    <w:rsid w:val="00ED14EF"/>
    <w:rsid w:val="00EF102E"/>
    <w:rsid w:val="00EF47FF"/>
    <w:rsid w:val="00EF5CC3"/>
    <w:rsid w:val="00F06864"/>
    <w:rsid w:val="00F07CA2"/>
    <w:rsid w:val="00F1273E"/>
    <w:rsid w:val="00F24887"/>
    <w:rsid w:val="00F278B6"/>
    <w:rsid w:val="00F37908"/>
    <w:rsid w:val="00F37EA7"/>
    <w:rsid w:val="00F44F39"/>
    <w:rsid w:val="00F927B1"/>
    <w:rsid w:val="00FD3517"/>
    <w:rsid w:val="00FE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4776"/>
  <w15:chartTrackingRefBased/>
  <w15:docId w15:val="{3526CD42-9159-489B-BF09-0E0322E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326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6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2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454"/>
    <w:rPr>
      <w:color w:val="0000FF"/>
      <w:u w:val="single"/>
    </w:rPr>
  </w:style>
  <w:style w:type="character" w:styleId="Strong">
    <w:name w:val="Strong"/>
    <w:basedOn w:val="DefaultParagraphFont"/>
    <w:uiPriority w:val="22"/>
    <w:qFormat/>
    <w:rsid w:val="0018511E"/>
    <w:rPr>
      <w:b/>
      <w:bCs/>
    </w:rPr>
  </w:style>
  <w:style w:type="character" w:styleId="CommentReference">
    <w:name w:val="annotation reference"/>
    <w:basedOn w:val="DefaultParagraphFont"/>
    <w:uiPriority w:val="99"/>
    <w:semiHidden/>
    <w:unhideWhenUsed/>
    <w:rsid w:val="007D7E9A"/>
    <w:rPr>
      <w:sz w:val="16"/>
      <w:szCs w:val="16"/>
    </w:rPr>
  </w:style>
  <w:style w:type="paragraph" w:styleId="CommentText">
    <w:name w:val="annotation text"/>
    <w:basedOn w:val="Normal"/>
    <w:link w:val="CommentTextChar"/>
    <w:uiPriority w:val="99"/>
    <w:semiHidden/>
    <w:unhideWhenUsed/>
    <w:rsid w:val="007D7E9A"/>
    <w:pPr>
      <w:spacing w:line="240" w:lineRule="auto"/>
    </w:pPr>
    <w:rPr>
      <w:sz w:val="20"/>
      <w:szCs w:val="20"/>
    </w:rPr>
  </w:style>
  <w:style w:type="character" w:customStyle="1" w:styleId="CommentTextChar">
    <w:name w:val="Comment Text Char"/>
    <w:basedOn w:val="DefaultParagraphFont"/>
    <w:link w:val="CommentText"/>
    <w:uiPriority w:val="99"/>
    <w:semiHidden/>
    <w:rsid w:val="007D7E9A"/>
    <w:rPr>
      <w:sz w:val="20"/>
      <w:szCs w:val="20"/>
    </w:rPr>
  </w:style>
  <w:style w:type="paragraph" w:styleId="CommentSubject">
    <w:name w:val="annotation subject"/>
    <w:basedOn w:val="CommentText"/>
    <w:next w:val="CommentText"/>
    <w:link w:val="CommentSubjectChar"/>
    <w:uiPriority w:val="99"/>
    <w:semiHidden/>
    <w:unhideWhenUsed/>
    <w:rsid w:val="007D7E9A"/>
    <w:rPr>
      <w:b/>
      <w:bCs/>
    </w:rPr>
  </w:style>
  <w:style w:type="character" w:customStyle="1" w:styleId="CommentSubjectChar">
    <w:name w:val="Comment Subject Char"/>
    <w:basedOn w:val="CommentTextChar"/>
    <w:link w:val="CommentSubject"/>
    <w:uiPriority w:val="99"/>
    <w:semiHidden/>
    <w:rsid w:val="007D7E9A"/>
    <w:rPr>
      <w:b/>
      <w:bCs/>
      <w:sz w:val="20"/>
      <w:szCs w:val="20"/>
    </w:rPr>
  </w:style>
  <w:style w:type="paragraph" w:styleId="BalloonText">
    <w:name w:val="Balloon Text"/>
    <w:basedOn w:val="Normal"/>
    <w:link w:val="BalloonTextChar"/>
    <w:uiPriority w:val="99"/>
    <w:semiHidden/>
    <w:unhideWhenUsed/>
    <w:rsid w:val="007D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9A"/>
    <w:rPr>
      <w:rFonts w:ascii="Segoe UI" w:hAnsi="Segoe UI" w:cs="Segoe UI"/>
      <w:sz w:val="18"/>
      <w:szCs w:val="18"/>
    </w:rPr>
  </w:style>
  <w:style w:type="paragraph" w:styleId="ListParagraph">
    <w:name w:val="List Paragraph"/>
    <w:basedOn w:val="Normal"/>
    <w:uiPriority w:val="34"/>
    <w:qFormat/>
    <w:rsid w:val="00ED14EF"/>
    <w:pPr>
      <w:ind w:left="720"/>
      <w:contextualSpacing/>
    </w:pPr>
  </w:style>
  <w:style w:type="character" w:customStyle="1" w:styleId="UnresolvedMention1">
    <w:name w:val="Unresolved Mention1"/>
    <w:basedOn w:val="DefaultParagraphFont"/>
    <w:uiPriority w:val="99"/>
    <w:semiHidden/>
    <w:unhideWhenUsed/>
    <w:rsid w:val="00CB285E"/>
    <w:rPr>
      <w:color w:val="605E5C"/>
      <w:shd w:val="clear" w:color="auto" w:fill="E1DFDD"/>
    </w:rPr>
  </w:style>
  <w:style w:type="character" w:styleId="FollowedHyperlink">
    <w:name w:val="FollowedHyperlink"/>
    <w:basedOn w:val="DefaultParagraphFont"/>
    <w:uiPriority w:val="99"/>
    <w:semiHidden/>
    <w:unhideWhenUsed/>
    <w:rsid w:val="00637CF8"/>
    <w:rPr>
      <w:color w:val="954F72" w:themeColor="followedHyperlink"/>
      <w:u w:val="single"/>
    </w:rPr>
  </w:style>
  <w:style w:type="paragraph" w:styleId="FootnoteText">
    <w:name w:val="footnote text"/>
    <w:basedOn w:val="Normal"/>
    <w:link w:val="FootnoteTextChar"/>
    <w:uiPriority w:val="99"/>
    <w:semiHidden/>
    <w:unhideWhenUsed/>
    <w:rsid w:val="00F92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7B1"/>
    <w:rPr>
      <w:sz w:val="20"/>
      <w:szCs w:val="20"/>
    </w:rPr>
  </w:style>
  <w:style w:type="character" w:styleId="FootnoteReference">
    <w:name w:val="footnote reference"/>
    <w:basedOn w:val="DefaultParagraphFont"/>
    <w:uiPriority w:val="99"/>
    <w:semiHidden/>
    <w:unhideWhenUsed/>
    <w:rsid w:val="00F927B1"/>
    <w:rPr>
      <w:vertAlign w:val="superscript"/>
    </w:rPr>
  </w:style>
  <w:style w:type="paragraph" w:styleId="Header">
    <w:name w:val="header"/>
    <w:basedOn w:val="Normal"/>
    <w:link w:val="HeaderChar"/>
    <w:uiPriority w:val="99"/>
    <w:unhideWhenUsed/>
    <w:rsid w:val="0087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28C"/>
  </w:style>
  <w:style w:type="paragraph" w:styleId="Footer">
    <w:name w:val="footer"/>
    <w:basedOn w:val="Normal"/>
    <w:link w:val="FooterChar"/>
    <w:uiPriority w:val="99"/>
    <w:unhideWhenUsed/>
    <w:rsid w:val="0087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8657">
      <w:bodyDiv w:val="1"/>
      <w:marLeft w:val="0"/>
      <w:marRight w:val="0"/>
      <w:marTop w:val="0"/>
      <w:marBottom w:val="0"/>
      <w:divBdr>
        <w:top w:val="none" w:sz="0" w:space="0" w:color="auto"/>
        <w:left w:val="none" w:sz="0" w:space="0" w:color="auto"/>
        <w:bottom w:val="none" w:sz="0" w:space="0" w:color="auto"/>
        <w:right w:val="none" w:sz="0" w:space="0" w:color="auto"/>
      </w:divBdr>
    </w:div>
    <w:div w:id="574703935">
      <w:bodyDiv w:val="1"/>
      <w:marLeft w:val="0"/>
      <w:marRight w:val="0"/>
      <w:marTop w:val="0"/>
      <w:marBottom w:val="0"/>
      <w:divBdr>
        <w:top w:val="none" w:sz="0" w:space="0" w:color="auto"/>
        <w:left w:val="none" w:sz="0" w:space="0" w:color="auto"/>
        <w:bottom w:val="none" w:sz="0" w:space="0" w:color="auto"/>
        <w:right w:val="none" w:sz="0" w:space="0" w:color="auto"/>
      </w:divBdr>
    </w:div>
    <w:div w:id="779371350">
      <w:bodyDiv w:val="1"/>
      <w:marLeft w:val="0"/>
      <w:marRight w:val="0"/>
      <w:marTop w:val="0"/>
      <w:marBottom w:val="0"/>
      <w:divBdr>
        <w:top w:val="none" w:sz="0" w:space="0" w:color="auto"/>
        <w:left w:val="none" w:sz="0" w:space="0" w:color="auto"/>
        <w:bottom w:val="none" w:sz="0" w:space="0" w:color="auto"/>
        <w:right w:val="none" w:sz="0" w:space="0" w:color="auto"/>
      </w:divBdr>
    </w:div>
    <w:div w:id="964969672">
      <w:bodyDiv w:val="1"/>
      <w:marLeft w:val="0"/>
      <w:marRight w:val="0"/>
      <w:marTop w:val="0"/>
      <w:marBottom w:val="0"/>
      <w:divBdr>
        <w:top w:val="none" w:sz="0" w:space="0" w:color="auto"/>
        <w:left w:val="none" w:sz="0" w:space="0" w:color="auto"/>
        <w:bottom w:val="none" w:sz="0" w:space="0" w:color="auto"/>
        <w:right w:val="none" w:sz="0" w:space="0" w:color="auto"/>
      </w:divBdr>
      <w:divsChild>
        <w:div w:id="2051107074">
          <w:marLeft w:val="0"/>
          <w:marRight w:val="0"/>
          <w:marTop w:val="0"/>
          <w:marBottom w:val="0"/>
          <w:divBdr>
            <w:top w:val="none" w:sz="0" w:space="0" w:color="auto"/>
            <w:left w:val="none" w:sz="0" w:space="0" w:color="auto"/>
            <w:bottom w:val="none" w:sz="0" w:space="0" w:color="auto"/>
            <w:right w:val="none" w:sz="0" w:space="0" w:color="auto"/>
          </w:divBdr>
        </w:div>
        <w:div w:id="260722312">
          <w:marLeft w:val="0"/>
          <w:marRight w:val="0"/>
          <w:marTop w:val="0"/>
          <w:marBottom w:val="0"/>
          <w:divBdr>
            <w:top w:val="none" w:sz="0" w:space="0" w:color="auto"/>
            <w:left w:val="none" w:sz="0" w:space="0" w:color="auto"/>
            <w:bottom w:val="none" w:sz="0" w:space="0" w:color="auto"/>
            <w:right w:val="none" w:sz="0" w:space="0" w:color="auto"/>
          </w:divBdr>
        </w:div>
        <w:div w:id="1710687221">
          <w:marLeft w:val="0"/>
          <w:marRight w:val="0"/>
          <w:marTop w:val="0"/>
          <w:marBottom w:val="0"/>
          <w:divBdr>
            <w:top w:val="none" w:sz="0" w:space="0" w:color="auto"/>
            <w:left w:val="none" w:sz="0" w:space="0" w:color="auto"/>
            <w:bottom w:val="none" w:sz="0" w:space="0" w:color="auto"/>
            <w:right w:val="none" w:sz="0" w:space="0" w:color="auto"/>
          </w:divBdr>
        </w:div>
        <w:div w:id="1373070124">
          <w:marLeft w:val="0"/>
          <w:marRight w:val="0"/>
          <w:marTop w:val="0"/>
          <w:marBottom w:val="0"/>
          <w:divBdr>
            <w:top w:val="none" w:sz="0" w:space="0" w:color="auto"/>
            <w:left w:val="none" w:sz="0" w:space="0" w:color="auto"/>
            <w:bottom w:val="none" w:sz="0" w:space="0" w:color="auto"/>
            <w:right w:val="none" w:sz="0" w:space="0" w:color="auto"/>
          </w:divBdr>
        </w:div>
        <w:div w:id="787355186">
          <w:marLeft w:val="0"/>
          <w:marRight w:val="0"/>
          <w:marTop w:val="0"/>
          <w:marBottom w:val="0"/>
          <w:divBdr>
            <w:top w:val="none" w:sz="0" w:space="0" w:color="auto"/>
            <w:left w:val="none" w:sz="0" w:space="0" w:color="auto"/>
            <w:bottom w:val="none" w:sz="0" w:space="0" w:color="auto"/>
            <w:right w:val="none" w:sz="0" w:space="0" w:color="auto"/>
          </w:divBdr>
        </w:div>
        <w:div w:id="383212034">
          <w:marLeft w:val="0"/>
          <w:marRight w:val="0"/>
          <w:marTop w:val="0"/>
          <w:marBottom w:val="0"/>
          <w:divBdr>
            <w:top w:val="none" w:sz="0" w:space="0" w:color="auto"/>
            <w:left w:val="none" w:sz="0" w:space="0" w:color="auto"/>
            <w:bottom w:val="none" w:sz="0" w:space="0" w:color="auto"/>
            <w:right w:val="none" w:sz="0" w:space="0" w:color="auto"/>
          </w:divBdr>
        </w:div>
        <w:div w:id="374694133">
          <w:marLeft w:val="0"/>
          <w:marRight w:val="0"/>
          <w:marTop w:val="0"/>
          <w:marBottom w:val="0"/>
          <w:divBdr>
            <w:top w:val="none" w:sz="0" w:space="0" w:color="auto"/>
            <w:left w:val="none" w:sz="0" w:space="0" w:color="auto"/>
            <w:bottom w:val="none" w:sz="0" w:space="0" w:color="auto"/>
            <w:right w:val="none" w:sz="0" w:space="0" w:color="auto"/>
          </w:divBdr>
        </w:div>
      </w:divsChild>
    </w:div>
    <w:div w:id="1218396072">
      <w:bodyDiv w:val="1"/>
      <w:marLeft w:val="0"/>
      <w:marRight w:val="0"/>
      <w:marTop w:val="0"/>
      <w:marBottom w:val="0"/>
      <w:divBdr>
        <w:top w:val="none" w:sz="0" w:space="0" w:color="auto"/>
        <w:left w:val="none" w:sz="0" w:space="0" w:color="auto"/>
        <w:bottom w:val="none" w:sz="0" w:space="0" w:color="auto"/>
        <w:right w:val="none" w:sz="0" w:space="0" w:color="auto"/>
      </w:divBdr>
    </w:div>
    <w:div w:id="1246376272">
      <w:bodyDiv w:val="1"/>
      <w:marLeft w:val="0"/>
      <w:marRight w:val="0"/>
      <w:marTop w:val="0"/>
      <w:marBottom w:val="0"/>
      <w:divBdr>
        <w:top w:val="none" w:sz="0" w:space="0" w:color="auto"/>
        <w:left w:val="none" w:sz="0" w:space="0" w:color="auto"/>
        <w:bottom w:val="none" w:sz="0" w:space="0" w:color="auto"/>
        <w:right w:val="none" w:sz="0" w:space="0" w:color="auto"/>
      </w:divBdr>
    </w:div>
    <w:div w:id="1638338440">
      <w:bodyDiv w:val="1"/>
      <w:marLeft w:val="0"/>
      <w:marRight w:val="0"/>
      <w:marTop w:val="0"/>
      <w:marBottom w:val="0"/>
      <w:divBdr>
        <w:top w:val="none" w:sz="0" w:space="0" w:color="auto"/>
        <w:left w:val="none" w:sz="0" w:space="0" w:color="auto"/>
        <w:bottom w:val="none" w:sz="0" w:space="0" w:color="auto"/>
        <w:right w:val="none" w:sz="0" w:space="0" w:color="auto"/>
      </w:divBdr>
    </w:div>
    <w:div w:id="1733967454">
      <w:bodyDiv w:val="1"/>
      <w:marLeft w:val="0"/>
      <w:marRight w:val="0"/>
      <w:marTop w:val="0"/>
      <w:marBottom w:val="0"/>
      <w:divBdr>
        <w:top w:val="none" w:sz="0" w:space="0" w:color="auto"/>
        <w:left w:val="none" w:sz="0" w:space="0" w:color="auto"/>
        <w:bottom w:val="none" w:sz="0" w:space="0" w:color="auto"/>
        <w:right w:val="none" w:sz="0" w:space="0" w:color="auto"/>
      </w:divBdr>
    </w:div>
    <w:div w:id="1769810809">
      <w:bodyDiv w:val="1"/>
      <w:marLeft w:val="0"/>
      <w:marRight w:val="0"/>
      <w:marTop w:val="0"/>
      <w:marBottom w:val="0"/>
      <w:divBdr>
        <w:top w:val="none" w:sz="0" w:space="0" w:color="auto"/>
        <w:left w:val="none" w:sz="0" w:space="0" w:color="auto"/>
        <w:bottom w:val="none" w:sz="0" w:space="0" w:color="auto"/>
        <w:right w:val="none" w:sz="0" w:space="0" w:color="auto"/>
      </w:divBdr>
    </w:div>
    <w:div w:id="20862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pts.washington.edu/ccph/pdf_files/CES_RPT_Packag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p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sf.edu/engagement/faculty/community-engaged-scholarship-toolkit.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age.msu.edu/about/overview/common-types-of-community-engaged-scholarship-reported-by-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F8DFC4C98104EBD054A15FC0FA17B" ma:contentTypeVersion="13" ma:contentTypeDescription="Create a new document." ma:contentTypeScope="" ma:versionID="05c6c699e8c2581531061045745d6d1c">
  <xsd:schema xmlns:xsd="http://www.w3.org/2001/XMLSchema" xmlns:xs="http://www.w3.org/2001/XMLSchema" xmlns:p="http://schemas.microsoft.com/office/2006/metadata/properties" xmlns:ns3="c51f67af-0f6b-4a4e-ab6e-405551cf896f" xmlns:ns4="b66db144-d4cb-4809-80c3-439b14f5b07d" targetNamespace="http://schemas.microsoft.com/office/2006/metadata/properties" ma:root="true" ma:fieldsID="a55a35120a4fc3b07b90ed7a688d09bd" ns3:_="" ns4:_="">
    <xsd:import namespace="c51f67af-0f6b-4a4e-ab6e-405551cf896f"/>
    <xsd:import namespace="b66db144-d4cb-4809-80c3-439b14f5b0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f67af-0f6b-4a4e-ab6e-405551cf8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db144-d4cb-4809-80c3-439b14f5b0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432A8-729B-4873-8314-6EAFBA32C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855A7-9798-4111-B64A-09C14E19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f67af-0f6b-4a4e-ab6e-405551cf896f"/>
    <ds:schemaRef ds:uri="b66db144-d4cb-4809-80c3-439b14f5b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FA87A-224B-4E66-984A-BD0B8786C80B}">
  <ds:schemaRefs>
    <ds:schemaRef ds:uri="http://schemas.openxmlformats.org/officeDocument/2006/bibliography"/>
  </ds:schemaRefs>
</ds:datastoreItem>
</file>

<file path=customXml/itemProps4.xml><?xml version="1.0" encoding="utf-8"?>
<ds:datastoreItem xmlns:ds="http://schemas.openxmlformats.org/officeDocument/2006/customXml" ds:itemID="{1381EB5B-8BF5-477E-A451-0CA136A9E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 Knight</dc:creator>
  <cp:keywords/>
  <dc:description/>
  <cp:lastModifiedBy>Duckworth, Noel</cp:lastModifiedBy>
  <cp:revision>8</cp:revision>
  <dcterms:created xsi:type="dcterms:W3CDTF">2020-07-28T15:17:00Z</dcterms:created>
  <dcterms:modified xsi:type="dcterms:W3CDTF">2022-02-07T00:50:00Z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0x0101000D7F8DFC4C98104EBD054A15FC0FA17B</vt:lpwstr>
  </property>
</Properties>
</file>