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3E553" w14:textId="77777777" w:rsidR="00747414" w:rsidRPr="00747414" w:rsidRDefault="00747414">
      <w:pPr>
        <w:rPr>
          <w:rFonts w:ascii="Garamond" w:hAnsi="Garamond" w:cs="Arial"/>
          <w:b/>
          <w:bCs/>
          <w:color w:val="222222"/>
          <w:sz w:val="24"/>
          <w:szCs w:val="24"/>
          <w:shd w:val="clear" w:color="auto" w:fill="FFFFFF"/>
        </w:rPr>
      </w:pPr>
    </w:p>
    <w:p w14:paraId="1C793EA1" w14:textId="77777777" w:rsidR="00B32985" w:rsidRDefault="00B32985" w:rsidP="00326A97">
      <w:pPr>
        <w:rPr>
          <w:rFonts w:ascii="Garamond" w:hAnsi="Garamond" w:cs="Arial"/>
          <w:b/>
          <w:bCs/>
          <w:color w:val="222222"/>
          <w:sz w:val="24"/>
          <w:szCs w:val="24"/>
          <w:shd w:val="clear" w:color="auto" w:fill="FFFFFF"/>
        </w:rPr>
      </w:pPr>
    </w:p>
    <w:p w14:paraId="2B6C89DC" w14:textId="57BFFEC9" w:rsidR="003C1F36" w:rsidRPr="00747414" w:rsidRDefault="00380D3B" w:rsidP="00326A97">
      <w:pPr>
        <w:rPr>
          <w:rFonts w:ascii="Garamond" w:hAnsi="Garamond" w:cs="Arial"/>
          <w:color w:val="222222"/>
          <w:sz w:val="24"/>
          <w:szCs w:val="24"/>
          <w:shd w:val="clear" w:color="auto" w:fill="FFFFFF"/>
        </w:rPr>
      </w:pPr>
      <w:r w:rsidRPr="00747414">
        <w:rPr>
          <w:rFonts w:ascii="Garamond" w:hAnsi="Garamond" w:cs="Arial"/>
          <w:b/>
          <w:bCs/>
          <w:color w:val="222222"/>
          <w:sz w:val="24"/>
          <w:szCs w:val="24"/>
          <w:shd w:val="clear" w:color="auto" w:fill="FFFFFF"/>
        </w:rPr>
        <w:t>Culturally Responsive Assessment</w:t>
      </w:r>
      <w:r w:rsidRPr="00747414">
        <w:rPr>
          <w:rFonts w:ascii="Garamond" w:hAnsi="Garamond" w:cs="Arial"/>
          <w:color w:val="222222"/>
          <w:sz w:val="24"/>
          <w:szCs w:val="24"/>
          <w:shd w:val="clear" w:color="auto" w:fill="FFFFFF"/>
        </w:rPr>
        <w:t>. Schools today are becoming increasingly diverse and</w:t>
      </w:r>
      <w:r w:rsidRPr="00747414">
        <w:rPr>
          <w:rStyle w:val="apple-converted-space"/>
          <w:rFonts w:ascii="Garamond" w:hAnsi="Garamond" w:cs="Arial"/>
          <w:color w:val="222222"/>
          <w:sz w:val="24"/>
          <w:szCs w:val="24"/>
          <w:shd w:val="clear" w:color="auto" w:fill="FFFFFF"/>
        </w:rPr>
        <w:t> </w:t>
      </w:r>
      <w:r w:rsidRPr="00326A97">
        <w:rPr>
          <w:rFonts w:ascii="Garamond" w:hAnsi="Garamond" w:cs="Arial"/>
          <w:i/>
          <w:iCs/>
          <w:color w:val="222222"/>
          <w:sz w:val="24"/>
          <w:szCs w:val="24"/>
          <w:shd w:val="clear" w:color="auto" w:fill="FFFFFF"/>
        </w:rPr>
        <w:t>culturally</w:t>
      </w:r>
      <w:r w:rsidRPr="00747414">
        <w:rPr>
          <w:rStyle w:val="apple-converted-space"/>
          <w:rFonts w:ascii="Garamond" w:hAnsi="Garamond" w:cs="Arial"/>
          <w:color w:val="222222"/>
          <w:sz w:val="24"/>
          <w:szCs w:val="24"/>
          <w:shd w:val="clear" w:color="auto" w:fill="FFFFFF"/>
        </w:rPr>
        <w:t> </w:t>
      </w:r>
      <w:r w:rsidRPr="00747414">
        <w:rPr>
          <w:rFonts w:ascii="Garamond" w:hAnsi="Garamond" w:cs="Arial"/>
          <w:color w:val="222222"/>
          <w:sz w:val="24"/>
          <w:szCs w:val="24"/>
          <w:shd w:val="clear" w:color="auto" w:fill="FFFFFF"/>
        </w:rPr>
        <w:t>rich. ... The validity of the Full and Individual</w:t>
      </w:r>
      <w:r w:rsidRPr="00747414">
        <w:rPr>
          <w:rStyle w:val="apple-converted-space"/>
          <w:rFonts w:ascii="Garamond" w:hAnsi="Garamond" w:cs="Arial"/>
          <w:color w:val="222222"/>
          <w:sz w:val="24"/>
          <w:szCs w:val="24"/>
          <w:shd w:val="clear" w:color="auto" w:fill="FFFFFF"/>
        </w:rPr>
        <w:t> </w:t>
      </w:r>
      <w:r w:rsidRPr="00326A97">
        <w:rPr>
          <w:rFonts w:ascii="Garamond" w:hAnsi="Garamond" w:cs="Arial"/>
          <w:color w:val="222222"/>
          <w:sz w:val="24"/>
          <w:szCs w:val="24"/>
          <w:shd w:val="clear" w:color="auto" w:fill="FFFFFF"/>
        </w:rPr>
        <w:t>Assessment</w:t>
      </w:r>
      <w:r w:rsidRPr="00747414">
        <w:rPr>
          <w:rStyle w:val="apple-converted-space"/>
          <w:rFonts w:ascii="Garamond" w:hAnsi="Garamond" w:cs="Arial"/>
          <w:color w:val="222222"/>
          <w:sz w:val="24"/>
          <w:szCs w:val="24"/>
          <w:shd w:val="clear" w:color="auto" w:fill="FFFFFF"/>
        </w:rPr>
        <w:t> </w:t>
      </w:r>
      <w:r w:rsidRPr="00747414">
        <w:rPr>
          <w:rFonts w:ascii="Garamond" w:hAnsi="Garamond" w:cs="Arial"/>
          <w:color w:val="222222"/>
          <w:sz w:val="24"/>
          <w:szCs w:val="24"/>
          <w:shd w:val="clear" w:color="auto" w:fill="FFFFFF"/>
        </w:rPr>
        <w:t>results is an issue of vital</w:t>
      </w:r>
      <w:r w:rsidRPr="00747414">
        <w:rPr>
          <w:rStyle w:val="apple-converted-space"/>
          <w:rFonts w:ascii="Garamond" w:hAnsi="Garamond" w:cs="Arial"/>
          <w:color w:val="222222"/>
          <w:sz w:val="24"/>
          <w:szCs w:val="24"/>
          <w:shd w:val="clear" w:color="auto" w:fill="FFFFFF"/>
        </w:rPr>
        <w:t> </w:t>
      </w:r>
      <w:r w:rsidRPr="00326A97">
        <w:rPr>
          <w:rFonts w:ascii="Garamond" w:hAnsi="Garamond" w:cs="Arial"/>
          <w:i/>
          <w:iCs/>
          <w:color w:val="222222"/>
          <w:sz w:val="24"/>
          <w:szCs w:val="24"/>
          <w:shd w:val="clear" w:color="auto" w:fill="FFFFFF"/>
        </w:rPr>
        <w:t>importance</w:t>
      </w:r>
      <w:r w:rsidRPr="00326A97">
        <w:rPr>
          <w:rStyle w:val="apple-converted-space"/>
          <w:rFonts w:ascii="Garamond" w:hAnsi="Garamond" w:cs="Arial"/>
          <w:i/>
          <w:iCs/>
          <w:color w:val="222222"/>
          <w:sz w:val="24"/>
          <w:szCs w:val="24"/>
          <w:shd w:val="clear" w:color="auto" w:fill="FFFFFF"/>
        </w:rPr>
        <w:t> </w:t>
      </w:r>
      <w:r w:rsidRPr="00747414">
        <w:rPr>
          <w:rFonts w:ascii="Garamond" w:hAnsi="Garamond" w:cs="Arial"/>
          <w:color w:val="222222"/>
          <w:sz w:val="24"/>
          <w:szCs w:val="24"/>
          <w:shd w:val="clear" w:color="auto" w:fill="FFFFFF"/>
        </w:rPr>
        <w:t>as these results are used to inform</w:t>
      </w:r>
      <w:r w:rsidRPr="00747414">
        <w:rPr>
          <w:rStyle w:val="apple-converted-space"/>
          <w:rFonts w:ascii="Garamond" w:hAnsi="Garamond" w:cs="Arial"/>
          <w:color w:val="222222"/>
          <w:sz w:val="24"/>
          <w:szCs w:val="24"/>
          <w:shd w:val="clear" w:color="auto" w:fill="FFFFFF"/>
        </w:rPr>
        <w:t> </w:t>
      </w:r>
      <w:r w:rsidRPr="00326A97">
        <w:rPr>
          <w:rFonts w:ascii="Garamond" w:hAnsi="Garamond" w:cs="Arial"/>
          <w:i/>
          <w:iCs/>
          <w:color w:val="222222"/>
          <w:sz w:val="24"/>
          <w:szCs w:val="24"/>
          <w:shd w:val="clear" w:color="auto" w:fill="FFFFFF"/>
        </w:rPr>
        <w:t>important</w:t>
      </w:r>
      <w:r w:rsidRPr="00326A97">
        <w:rPr>
          <w:rStyle w:val="apple-converted-space"/>
          <w:rFonts w:ascii="Garamond" w:hAnsi="Garamond" w:cs="Arial"/>
          <w:i/>
          <w:iCs/>
          <w:color w:val="222222"/>
          <w:sz w:val="24"/>
          <w:szCs w:val="24"/>
          <w:shd w:val="clear" w:color="auto" w:fill="FFFFFF"/>
        </w:rPr>
        <w:t> </w:t>
      </w:r>
      <w:r w:rsidRPr="00747414">
        <w:rPr>
          <w:rFonts w:ascii="Garamond" w:hAnsi="Garamond" w:cs="Arial"/>
          <w:color w:val="222222"/>
          <w:sz w:val="24"/>
          <w:szCs w:val="24"/>
          <w:shd w:val="clear" w:color="auto" w:fill="FFFFFF"/>
        </w:rPr>
        <w:t>decisions that impact a student's life.</w:t>
      </w:r>
      <w:r w:rsidR="00326A97">
        <w:rPr>
          <w:rStyle w:val="FootnoteReference"/>
          <w:rFonts w:ascii="Garamond" w:hAnsi="Garamond" w:cs="Arial"/>
          <w:color w:val="222222"/>
          <w:sz w:val="24"/>
          <w:szCs w:val="24"/>
          <w:shd w:val="clear" w:color="auto" w:fill="FFFFFF"/>
        </w:rPr>
        <w:footnoteReference w:id="1"/>
      </w:r>
      <w:r w:rsidRPr="00747414">
        <w:rPr>
          <w:rFonts w:ascii="Garamond" w:hAnsi="Garamond" w:cs="Arial"/>
          <w:color w:val="222222"/>
          <w:sz w:val="24"/>
          <w:szCs w:val="24"/>
          <w:shd w:val="clear" w:color="auto" w:fill="FFFFFF"/>
        </w:rPr>
        <w:t xml:space="preserve"> </w:t>
      </w:r>
    </w:p>
    <w:p w14:paraId="7DF18B98" w14:textId="34077D01" w:rsidR="00380D3B" w:rsidRPr="00747414" w:rsidRDefault="00380D3B" w:rsidP="00326A97">
      <w:pPr>
        <w:rPr>
          <w:rFonts w:ascii="Garamond" w:hAnsi="Garamond" w:cs="Arial"/>
          <w:sz w:val="24"/>
          <w:szCs w:val="24"/>
        </w:rPr>
      </w:pPr>
      <w:r w:rsidRPr="00747414">
        <w:rPr>
          <w:rFonts w:ascii="Garamond" w:hAnsi="Garamond" w:cs="Arial"/>
          <w:sz w:val="24"/>
          <w:szCs w:val="24"/>
        </w:rPr>
        <w:t>Culture is a cumulative body of learned and shared behavior, values, customs, and beliefs common to a particular group or society. In essenc</w:t>
      </w:r>
      <w:r w:rsidR="00326A97">
        <w:rPr>
          <w:rFonts w:ascii="Garamond" w:hAnsi="Garamond" w:cs="Arial"/>
          <w:sz w:val="24"/>
          <w:szCs w:val="24"/>
        </w:rPr>
        <w:t>e, culture makes us who we are.</w:t>
      </w:r>
      <w:r w:rsidR="00326A97">
        <w:rPr>
          <w:rStyle w:val="FootnoteReference"/>
          <w:rFonts w:ascii="Garamond" w:hAnsi="Garamond" w:cs="Arial"/>
          <w:sz w:val="24"/>
          <w:szCs w:val="24"/>
        </w:rPr>
        <w:footnoteReference w:id="2"/>
      </w:r>
      <w:r w:rsidR="00326A97">
        <w:rPr>
          <w:rFonts w:ascii="Garamond" w:hAnsi="Garamond" w:cs="Arial"/>
          <w:sz w:val="24"/>
          <w:szCs w:val="24"/>
        </w:rPr>
        <w:t xml:space="preserve"> </w:t>
      </w:r>
    </w:p>
    <w:p w14:paraId="7264649A" w14:textId="77777777" w:rsidR="00B32985" w:rsidRDefault="00B32985">
      <w:pPr>
        <w:rPr>
          <w:rFonts w:ascii="Garamond" w:hAnsi="Garamond" w:cs="Arial"/>
          <w:b/>
          <w:sz w:val="24"/>
          <w:szCs w:val="24"/>
        </w:rPr>
      </w:pPr>
    </w:p>
    <w:p w14:paraId="36853BC8" w14:textId="77777777" w:rsidR="00380D3B" w:rsidRPr="00747414" w:rsidRDefault="000D4854">
      <w:pPr>
        <w:rPr>
          <w:rFonts w:ascii="Garamond" w:hAnsi="Garamond" w:cs="Arial"/>
          <w:sz w:val="24"/>
          <w:szCs w:val="24"/>
        </w:rPr>
      </w:pPr>
      <w:r w:rsidRPr="00747414">
        <w:rPr>
          <w:rFonts w:ascii="Garamond" w:hAnsi="Garamond" w:cs="Arial"/>
          <w:b/>
          <w:sz w:val="24"/>
          <w:szCs w:val="24"/>
        </w:rPr>
        <w:t xml:space="preserve">How can an evaluation be culturally responsive? </w:t>
      </w:r>
      <w:r w:rsidRPr="00747414">
        <w:rPr>
          <w:rFonts w:ascii="Garamond" w:hAnsi="Garamond" w:cs="Arial"/>
          <w:sz w:val="24"/>
          <w:szCs w:val="24"/>
        </w:rPr>
        <w:t>An evaluation is culturally responsive if it fully takes into account the culture of the program that is being evaluated. In other words, the evaluation is based on an examination of impacts through lenses in which the culture of the participants is considered an important factor, thus rejecting the notion that assessments must be objective and culture free, if they are to be unbiased.</w:t>
      </w:r>
    </w:p>
    <w:p w14:paraId="1074580B" w14:textId="77777777" w:rsidR="00B32985" w:rsidRDefault="00B32985">
      <w:pPr>
        <w:rPr>
          <w:rFonts w:ascii="Garamond" w:hAnsi="Garamond" w:cs="Arial"/>
          <w:b/>
          <w:sz w:val="24"/>
          <w:szCs w:val="24"/>
        </w:rPr>
      </w:pPr>
    </w:p>
    <w:p w14:paraId="30534159" w14:textId="77777777" w:rsidR="00107062" w:rsidRPr="00747414" w:rsidRDefault="00107062">
      <w:pPr>
        <w:rPr>
          <w:rFonts w:ascii="Garamond" w:hAnsi="Garamond" w:cs="Arial"/>
          <w:b/>
          <w:sz w:val="24"/>
          <w:szCs w:val="24"/>
        </w:rPr>
      </w:pPr>
      <w:bookmarkStart w:id="0" w:name="_GoBack"/>
      <w:bookmarkEnd w:id="0"/>
      <w:r w:rsidRPr="00747414">
        <w:rPr>
          <w:rFonts w:ascii="Garamond" w:hAnsi="Garamond" w:cs="Arial"/>
          <w:b/>
          <w:sz w:val="24"/>
          <w:szCs w:val="24"/>
        </w:rPr>
        <w:t>Takeaways from the NSF:</w:t>
      </w:r>
    </w:p>
    <w:p w14:paraId="04FEB712" w14:textId="77777777" w:rsidR="00380D3B" w:rsidRPr="00747414" w:rsidRDefault="00107062" w:rsidP="00107062">
      <w:pPr>
        <w:pStyle w:val="ListParagraph"/>
        <w:numPr>
          <w:ilvl w:val="0"/>
          <w:numId w:val="1"/>
        </w:numPr>
        <w:rPr>
          <w:rFonts w:ascii="Garamond" w:hAnsi="Garamond" w:cs="Arial"/>
          <w:sz w:val="24"/>
          <w:szCs w:val="24"/>
        </w:rPr>
      </w:pPr>
      <w:r w:rsidRPr="00747414">
        <w:rPr>
          <w:rFonts w:ascii="Garamond" w:hAnsi="Garamond" w:cs="Arial"/>
          <w:sz w:val="24"/>
          <w:szCs w:val="24"/>
        </w:rPr>
        <w:t>Evaluation is based on an examination of impacts through lenses in which the culture of the participants is considered an important factor.</w:t>
      </w:r>
    </w:p>
    <w:p w14:paraId="3AC1E8CF" w14:textId="77777777" w:rsidR="00107062" w:rsidRPr="00747414" w:rsidRDefault="00107062" w:rsidP="00107062">
      <w:pPr>
        <w:pStyle w:val="ListParagraph"/>
        <w:numPr>
          <w:ilvl w:val="0"/>
          <w:numId w:val="1"/>
        </w:numPr>
        <w:rPr>
          <w:rFonts w:ascii="Garamond" w:hAnsi="Garamond" w:cs="Arial"/>
          <w:sz w:val="24"/>
          <w:szCs w:val="24"/>
        </w:rPr>
      </w:pPr>
      <w:r w:rsidRPr="00747414">
        <w:rPr>
          <w:rFonts w:ascii="Garamond" w:hAnsi="Garamond" w:cs="Arial"/>
          <w:sz w:val="24"/>
          <w:szCs w:val="24"/>
        </w:rPr>
        <w:t>Cultural responsiveness is gaining recognition as a critical feature of the evaluation process.</w:t>
      </w:r>
    </w:p>
    <w:p w14:paraId="3C0D1AAD" w14:textId="77777777" w:rsidR="00107062" w:rsidRPr="00747414" w:rsidRDefault="00107062" w:rsidP="00107062">
      <w:pPr>
        <w:pStyle w:val="ListParagraph"/>
        <w:numPr>
          <w:ilvl w:val="0"/>
          <w:numId w:val="1"/>
        </w:numPr>
        <w:rPr>
          <w:rFonts w:ascii="Garamond" w:hAnsi="Garamond" w:cs="Arial"/>
          <w:sz w:val="24"/>
          <w:szCs w:val="24"/>
        </w:rPr>
      </w:pPr>
      <w:r w:rsidRPr="00747414">
        <w:rPr>
          <w:rFonts w:ascii="Garamond" w:hAnsi="Garamond" w:cs="Arial"/>
          <w:sz w:val="24"/>
          <w:szCs w:val="24"/>
        </w:rPr>
        <w:t>There are no culture-free evaluators, educational tests, or societal laws.</w:t>
      </w:r>
    </w:p>
    <w:p w14:paraId="5DC531A4" w14:textId="77777777" w:rsidR="00107062" w:rsidRPr="00747414" w:rsidRDefault="00107062" w:rsidP="00107062">
      <w:pPr>
        <w:pStyle w:val="ListParagraph"/>
        <w:numPr>
          <w:ilvl w:val="0"/>
          <w:numId w:val="1"/>
        </w:numPr>
        <w:rPr>
          <w:rFonts w:ascii="Garamond" w:hAnsi="Garamond" w:cs="Arial"/>
          <w:sz w:val="24"/>
          <w:szCs w:val="24"/>
        </w:rPr>
      </w:pPr>
      <w:r w:rsidRPr="00747414">
        <w:rPr>
          <w:rFonts w:ascii="Garamond" w:hAnsi="Garamond" w:cs="Arial"/>
          <w:sz w:val="24"/>
          <w:szCs w:val="24"/>
        </w:rPr>
        <w:t>Multiethnic evaluation teams increase the chances of really hearing the voices of underrepresented students.</w:t>
      </w:r>
    </w:p>
    <w:p w14:paraId="710E55C3" w14:textId="77777777" w:rsidR="00107062" w:rsidRPr="00747414" w:rsidRDefault="00107062" w:rsidP="00107062">
      <w:pPr>
        <w:pStyle w:val="ListParagraph"/>
        <w:numPr>
          <w:ilvl w:val="0"/>
          <w:numId w:val="1"/>
        </w:numPr>
        <w:rPr>
          <w:rFonts w:ascii="Garamond" w:hAnsi="Garamond" w:cs="Arial"/>
          <w:sz w:val="24"/>
          <w:szCs w:val="24"/>
        </w:rPr>
      </w:pPr>
      <w:r w:rsidRPr="00747414">
        <w:rPr>
          <w:rFonts w:ascii="Garamond" w:hAnsi="Garamond" w:cs="Arial"/>
          <w:sz w:val="24"/>
          <w:szCs w:val="24"/>
        </w:rPr>
        <w:t>Stakeholders play a critical role in all evaluations, especially culturally responsive ones.</w:t>
      </w:r>
    </w:p>
    <w:p w14:paraId="4DFD1D57" w14:textId="77777777" w:rsidR="00107062" w:rsidRPr="00747414" w:rsidRDefault="00107062" w:rsidP="00107062">
      <w:pPr>
        <w:pStyle w:val="ListParagraph"/>
        <w:numPr>
          <w:ilvl w:val="0"/>
          <w:numId w:val="1"/>
        </w:numPr>
        <w:rPr>
          <w:rFonts w:ascii="Garamond" w:hAnsi="Garamond" w:cs="Arial"/>
          <w:sz w:val="24"/>
          <w:szCs w:val="24"/>
        </w:rPr>
      </w:pPr>
      <w:r w:rsidRPr="00747414">
        <w:rPr>
          <w:rFonts w:ascii="Garamond" w:hAnsi="Garamond" w:cs="Arial"/>
          <w:sz w:val="24"/>
          <w:szCs w:val="24"/>
        </w:rPr>
        <w:t>Culturally responsive progress evaluations examine connections through culturally sensitive lenses.</w:t>
      </w:r>
    </w:p>
    <w:p w14:paraId="025B640E" w14:textId="77777777" w:rsidR="00107062" w:rsidRPr="00747414" w:rsidRDefault="00107062" w:rsidP="00107062">
      <w:pPr>
        <w:pStyle w:val="ListParagraph"/>
        <w:numPr>
          <w:ilvl w:val="0"/>
          <w:numId w:val="1"/>
        </w:numPr>
        <w:rPr>
          <w:rFonts w:ascii="Garamond" w:hAnsi="Garamond" w:cs="Arial"/>
          <w:sz w:val="24"/>
          <w:szCs w:val="24"/>
        </w:rPr>
      </w:pPr>
      <w:r w:rsidRPr="00747414">
        <w:rPr>
          <w:rFonts w:ascii="Garamond" w:hAnsi="Garamond" w:cs="Arial"/>
          <w:sz w:val="24"/>
          <w:szCs w:val="24"/>
        </w:rPr>
        <w:t>It is critical that the questions of significant stakeholders have been heard and, where appropriate, addressed.</w:t>
      </w:r>
    </w:p>
    <w:p w14:paraId="071A3193" w14:textId="77777777" w:rsidR="00107062" w:rsidRPr="00747414" w:rsidRDefault="00107062" w:rsidP="00107062">
      <w:pPr>
        <w:pStyle w:val="ListParagraph"/>
        <w:numPr>
          <w:ilvl w:val="0"/>
          <w:numId w:val="1"/>
        </w:numPr>
        <w:rPr>
          <w:rFonts w:ascii="Garamond" w:hAnsi="Garamond" w:cs="Arial"/>
          <w:sz w:val="24"/>
          <w:szCs w:val="24"/>
        </w:rPr>
      </w:pPr>
      <w:r w:rsidRPr="00747414">
        <w:rPr>
          <w:rFonts w:ascii="Garamond" w:hAnsi="Garamond" w:cs="Arial"/>
          <w:sz w:val="24"/>
          <w:szCs w:val="24"/>
        </w:rPr>
        <w:t>Questions regarding what constitutes acceptable evidence should be discussed before conducting the evaluation.</w:t>
      </w:r>
    </w:p>
    <w:p w14:paraId="12EC88A2" w14:textId="77777777" w:rsidR="00107062" w:rsidRPr="00747414" w:rsidRDefault="00107062" w:rsidP="00107062">
      <w:pPr>
        <w:pStyle w:val="ListParagraph"/>
        <w:numPr>
          <w:ilvl w:val="0"/>
          <w:numId w:val="1"/>
        </w:numPr>
        <w:rPr>
          <w:rFonts w:ascii="Garamond" w:hAnsi="Garamond" w:cs="Arial"/>
          <w:sz w:val="24"/>
          <w:szCs w:val="24"/>
        </w:rPr>
      </w:pPr>
      <w:r w:rsidRPr="00747414">
        <w:rPr>
          <w:rFonts w:ascii="Garamond" w:hAnsi="Garamond" w:cs="Arial"/>
          <w:sz w:val="24"/>
          <w:szCs w:val="24"/>
        </w:rPr>
        <w:t>Previous use (of an instrument) does not guarantee cultural responsiveness.</w:t>
      </w:r>
    </w:p>
    <w:p w14:paraId="17426A1D" w14:textId="77777777" w:rsidR="00107062" w:rsidRPr="00747414" w:rsidRDefault="00107062" w:rsidP="00107062">
      <w:pPr>
        <w:pStyle w:val="ListParagraph"/>
        <w:numPr>
          <w:ilvl w:val="0"/>
          <w:numId w:val="1"/>
        </w:numPr>
        <w:rPr>
          <w:rFonts w:ascii="Garamond" w:hAnsi="Garamond" w:cs="Arial"/>
          <w:sz w:val="24"/>
          <w:szCs w:val="24"/>
        </w:rPr>
      </w:pPr>
      <w:r w:rsidRPr="00747414">
        <w:rPr>
          <w:rFonts w:ascii="Garamond" w:hAnsi="Garamond" w:cs="Arial"/>
          <w:sz w:val="24"/>
          <w:szCs w:val="24"/>
        </w:rPr>
        <w:t>The need to train data collectors in evaluation studies is great.</w:t>
      </w:r>
    </w:p>
    <w:p w14:paraId="69ED98C3" w14:textId="77777777" w:rsidR="00107062" w:rsidRPr="00747414" w:rsidRDefault="00107062" w:rsidP="00107062">
      <w:pPr>
        <w:pStyle w:val="ListParagraph"/>
        <w:numPr>
          <w:ilvl w:val="0"/>
          <w:numId w:val="1"/>
        </w:numPr>
        <w:rPr>
          <w:rFonts w:ascii="Garamond" w:hAnsi="Garamond" w:cs="Arial"/>
          <w:sz w:val="24"/>
          <w:szCs w:val="24"/>
        </w:rPr>
      </w:pPr>
      <w:r w:rsidRPr="00747414">
        <w:rPr>
          <w:rFonts w:ascii="Garamond" w:hAnsi="Garamond" w:cs="Arial"/>
          <w:sz w:val="24"/>
          <w:szCs w:val="24"/>
        </w:rPr>
        <w:t>Too often the nonverbal behaviors are treated as “error variance” in the observation and ignored.</w:t>
      </w:r>
    </w:p>
    <w:p w14:paraId="5B0A5834" w14:textId="77777777" w:rsidR="00107062" w:rsidRPr="00747414" w:rsidRDefault="00107062" w:rsidP="00107062">
      <w:pPr>
        <w:pStyle w:val="ListParagraph"/>
        <w:numPr>
          <w:ilvl w:val="0"/>
          <w:numId w:val="1"/>
        </w:numPr>
        <w:rPr>
          <w:rFonts w:ascii="Garamond" w:hAnsi="Garamond" w:cs="Arial"/>
          <w:sz w:val="24"/>
          <w:szCs w:val="24"/>
        </w:rPr>
      </w:pPr>
      <w:r w:rsidRPr="00747414">
        <w:rPr>
          <w:rFonts w:ascii="Garamond" w:hAnsi="Garamond" w:cs="Arial"/>
          <w:sz w:val="24"/>
          <w:szCs w:val="24"/>
        </w:rPr>
        <w:t>Disaggregation of collected data is a procedure that warrants increased attention.</w:t>
      </w:r>
    </w:p>
    <w:p w14:paraId="36E69F81" w14:textId="77777777" w:rsidR="00107062" w:rsidRPr="00747414" w:rsidRDefault="00107062" w:rsidP="00107062">
      <w:pPr>
        <w:pStyle w:val="ListParagraph"/>
        <w:numPr>
          <w:ilvl w:val="0"/>
          <w:numId w:val="1"/>
        </w:numPr>
        <w:rPr>
          <w:rFonts w:ascii="Garamond" w:hAnsi="Garamond" w:cs="Arial"/>
          <w:sz w:val="24"/>
          <w:szCs w:val="24"/>
        </w:rPr>
      </w:pPr>
      <w:r w:rsidRPr="00747414">
        <w:rPr>
          <w:rFonts w:ascii="Garamond" w:hAnsi="Garamond" w:cs="Arial"/>
          <w:sz w:val="24"/>
          <w:szCs w:val="24"/>
        </w:rPr>
        <w:t>Evaluation results should be viewed by audiences as not only useful, but truthful as well.</w:t>
      </w:r>
    </w:p>
    <w:p w14:paraId="4881DED2" w14:textId="77777777" w:rsidR="00107062" w:rsidRPr="00747414" w:rsidRDefault="00107062">
      <w:pPr>
        <w:rPr>
          <w:rFonts w:ascii="Garamond" w:hAnsi="Garamond" w:cs="Arial"/>
          <w:b/>
          <w:sz w:val="24"/>
          <w:szCs w:val="24"/>
        </w:rPr>
      </w:pPr>
      <w:r w:rsidRPr="00747414">
        <w:rPr>
          <w:rFonts w:ascii="Garamond" w:hAnsi="Garamond" w:cs="Arial"/>
          <w:b/>
          <w:sz w:val="24"/>
          <w:szCs w:val="24"/>
        </w:rPr>
        <w:br w:type="page"/>
      </w:r>
    </w:p>
    <w:p w14:paraId="4D11A19B" w14:textId="77777777" w:rsidR="00057AC3" w:rsidRDefault="00057AC3" w:rsidP="00107062">
      <w:pPr>
        <w:rPr>
          <w:rFonts w:ascii="Garamond" w:hAnsi="Garamond" w:cs="Arial"/>
          <w:b/>
          <w:sz w:val="24"/>
          <w:szCs w:val="24"/>
        </w:rPr>
      </w:pPr>
    </w:p>
    <w:p w14:paraId="394DF8A7" w14:textId="77777777" w:rsidR="00107062" w:rsidRPr="00747414" w:rsidRDefault="00107062" w:rsidP="00107062">
      <w:pPr>
        <w:rPr>
          <w:rFonts w:ascii="Garamond" w:hAnsi="Garamond" w:cs="Arial"/>
          <w:b/>
          <w:sz w:val="24"/>
          <w:szCs w:val="24"/>
        </w:rPr>
      </w:pPr>
      <w:r w:rsidRPr="00747414">
        <w:rPr>
          <w:rFonts w:ascii="Garamond" w:hAnsi="Garamond" w:cs="Arial"/>
          <w:b/>
          <w:sz w:val="24"/>
          <w:szCs w:val="24"/>
        </w:rPr>
        <w:t>Resources</w:t>
      </w:r>
    </w:p>
    <w:p w14:paraId="7F48FAC0" w14:textId="77777777" w:rsidR="00107062" w:rsidRPr="00747414" w:rsidRDefault="00107062" w:rsidP="00107062">
      <w:pPr>
        <w:rPr>
          <w:rFonts w:ascii="Garamond" w:hAnsi="Garamond"/>
          <w:sz w:val="24"/>
          <w:szCs w:val="24"/>
        </w:rPr>
      </w:pPr>
      <w:r w:rsidRPr="00747414">
        <w:rPr>
          <w:rFonts w:ascii="Garamond" w:hAnsi="Garamond"/>
          <w:sz w:val="24"/>
          <w:szCs w:val="24"/>
        </w:rPr>
        <w:t>Center for Culturally Responsive Evaluation and Assessment (</w:t>
      </w:r>
      <w:hyperlink r:id="rId7" w:history="1">
        <w:r w:rsidRPr="00747414">
          <w:rPr>
            <w:rFonts w:ascii="Garamond" w:hAnsi="Garamond"/>
            <w:sz w:val="24"/>
            <w:szCs w:val="24"/>
          </w:rPr>
          <w:t>CREA.education.illinois.edu</w:t>
        </w:r>
      </w:hyperlink>
      <w:r w:rsidRPr="00747414">
        <w:rPr>
          <w:rFonts w:ascii="Garamond" w:hAnsi="Garamond"/>
          <w:sz w:val="24"/>
          <w:szCs w:val="24"/>
        </w:rPr>
        <w:t>)</w:t>
      </w:r>
    </w:p>
    <w:p w14:paraId="2DC8A105" w14:textId="29A3ECD4" w:rsidR="00107062" w:rsidRPr="00747414" w:rsidRDefault="00107062" w:rsidP="00107062">
      <w:pPr>
        <w:rPr>
          <w:rFonts w:ascii="Garamond" w:hAnsi="Garamond"/>
          <w:sz w:val="24"/>
          <w:szCs w:val="24"/>
        </w:rPr>
      </w:pPr>
      <w:r w:rsidRPr="00747414">
        <w:rPr>
          <w:rFonts w:ascii="Garamond" w:hAnsi="Garamond"/>
          <w:sz w:val="24"/>
          <w:szCs w:val="24"/>
        </w:rPr>
        <w:t>Frierson, H</w:t>
      </w:r>
      <w:r w:rsidR="00FB3F76">
        <w:rPr>
          <w:rFonts w:ascii="Garamond" w:hAnsi="Garamond"/>
          <w:sz w:val="24"/>
          <w:szCs w:val="24"/>
        </w:rPr>
        <w:t>.T., Hood, S., Hughes, G.B. (200</w:t>
      </w:r>
      <w:r w:rsidRPr="00747414">
        <w:rPr>
          <w:rFonts w:ascii="Garamond" w:hAnsi="Garamond"/>
          <w:sz w:val="24"/>
          <w:szCs w:val="24"/>
        </w:rPr>
        <w:t xml:space="preserve">2). Strategies that address culturally responsive evaluation. National Science Foundation Publications. </w:t>
      </w:r>
      <w:hyperlink r:id="rId8" w:history="1">
        <w:r w:rsidRPr="00747414">
          <w:rPr>
            <w:rFonts w:ascii="Garamond" w:hAnsi="Garamond"/>
            <w:sz w:val="24"/>
            <w:szCs w:val="24"/>
          </w:rPr>
          <w:t>https://www.nsf.gov/pubs/2002/nsf02057/nsf02057_5.pdf</w:t>
        </w:r>
      </w:hyperlink>
      <w:r w:rsidRPr="00747414">
        <w:rPr>
          <w:rFonts w:ascii="Garamond" w:hAnsi="Garamond"/>
          <w:sz w:val="24"/>
          <w:szCs w:val="24"/>
        </w:rPr>
        <w:t xml:space="preserve"> </w:t>
      </w:r>
    </w:p>
    <w:p w14:paraId="04D60DAB" w14:textId="77777777" w:rsidR="00107062" w:rsidRPr="00747414" w:rsidRDefault="00107062" w:rsidP="00107062">
      <w:pPr>
        <w:rPr>
          <w:rFonts w:ascii="Garamond" w:hAnsi="Garamond"/>
          <w:sz w:val="24"/>
          <w:szCs w:val="24"/>
        </w:rPr>
      </w:pPr>
      <w:r w:rsidRPr="00747414">
        <w:rPr>
          <w:rFonts w:ascii="Garamond" w:hAnsi="Garamond"/>
          <w:sz w:val="24"/>
          <w:szCs w:val="24"/>
        </w:rPr>
        <w:t>Gordon, E.W. (1998). Producing Knowledge and Pursuing Understanding: Reflections on a Career of Such Effort. AERA Invited Distinguished Lectureship. Paper presented at the annual meeting of the American Educational Research Association, San Diego, CA, 13 April.</w:t>
      </w:r>
    </w:p>
    <w:p w14:paraId="22D70C39" w14:textId="77777777" w:rsidR="00107062" w:rsidRPr="00747414" w:rsidRDefault="00107062" w:rsidP="00107062">
      <w:pPr>
        <w:rPr>
          <w:rFonts w:ascii="Garamond" w:hAnsi="Garamond"/>
          <w:sz w:val="24"/>
          <w:szCs w:val="24"/>
        </w:rPr>
      </w:pPr>
      <w:r w:rsidRPr="00747414">
        <w:rPr>
          <w:rFonts w:ascii="Garamond" w:hAnsi="Garamond"/>
          <w:sz w:val="24"/>
          <w:szCs w:val="24"/>
        </w:rPr>
        <w:t>Hale-Benson, J. (1982). Black Children: Their Roots, Culture, and Learning Styles, Revised Ed. Baltimore, MD: Johns Hopkins University Press.</w:t>
      </w:r>
    </w:p>
    <w:p w14:paraId="2EFCBBE7" w14:textId="77777777" w:rsidR="00107062" w:rsidRPr="00747414" w:rsidRDefault="00107062" w:rsidP="00107062">
      <w:pPr>
        <w:rPr>
          <w:rFonts w:ascii="Garamond" w:hAnsi="Garamond" w:cs="Arial"/>
          <w:sz w:val="24"/>
          <w:szCs w:val="24"/>
        </w:rPr>
      </w:pPr>
      <w:r w:rsidRPr="00747414">
        <w:rPr>
          <w:rFonts w:ascii="Garamond" w:hAnsi="Garamond"/>
          <w:sz w:val="24"/>
          <w:szCs w:val="24"/>
        </w:rPr>
        <w:t>Hood, S. (2000). Commentary on Deliberative Democratic Evaluation. In Evaluation as a Democratic Process: Promoting Inclusion, Dialogue, and Deliberation, edited by K. Ryan and L. DeStefano. New Directions for Program Evaluation, No. 85. San Francisco, CA: Jossey-Bass.</w:t>
      </w:r>
    </w:p>
    <w:p w14:paraId="30C1548D" w14:textId="77777777" w:rsidR="00107062" w:rsidRPr="00747414" w:rsidRDefault="00107062" w:rsidP="00107062">
      <w:pPr>
        <w:rPr>
          <w:rFonts w:ascii="Garamond" w:hAnsi="Garamond"/>
          <w:sz w:val="24"/>
          <w:szCs w:val="24"/>
        </w:rPr>
      </w:pPr>
      <w:r w:rsidRPr="00747414">
        <w:rPr>
          <w:rFonts w:ascii="Garamond" w:hAnsi="Garamond"/>
          <w:sz w:val="24"/>
          <w:szCs w:val="24"/>
        </w:rPr>
        <w:t>Kahle, J.B. (2000). Discussant Remarks. In The Cultural Context of Educational Evaluation: The Role of Minority Evaluation Professionals, NSF 01-43. Arlington, VA: National Science Foundation, Directorate for Education and Human Resources.</w:t>
      </w:r>
    </w:p>
    <w:p w14:paraId="03D57194" w14:textId="77777777" w:rsidR="00107062" w:rsidRPr="00747414" w:rsidRDefault="00107062" w:rsidP="00107062">
      <w:pPr>
        <w:rPr>
          <w:rFonts w:ascii="Garamond" w:hAnsi="Garamond"/>
          <w:sz w:val="24"/>
          <w:szCs w:val="24"/>
        </w:rPr>
      </w:pPr>
      <w:r w:rsidRPr="00747414">
        <w:rPr>
          <w:rFonts w:ascii="Garamond" w:hAnsi="Garamond"/>
          <w:sz w:val="24"/>
          <w:szCs w:val="24"/>
        </w:rPr>
        <w:t>Kirkhart, K.E. (1995). Seeking Multicultural Validity: A Postcard From the Road. Evaluation Practice, 16 (1): 1-12.</w:t>
      </w:r>
    </w:p>
    <w:p w14:paraId="2E72F1C4" w14:textId="77777777" w:rsidR="00107062" w:rsidRPr="00747414" w:rsidRDefault="00107062" w:rsidP="00107062">
      <w:pPr>
        <w:rPr>
          <w:rFonts w:ascii="Garamond" w:hAnsi="Garamond"/>
          <w:sz w:val="24"/>
          <w:szCs w:val="24"/>
        </w:rPr>
      </w:pPr>
      <w:r w:rsidRPr="00747414">
        <w:rPr>
          <w:rFonts w:ascii="Garamond" w:hAnsi="Garamond"/>
          <w:sz w:val="24"/>
          <w:szCs w:val="24"/>
        </w:rPr>
        <w:t>Patton, M.Q. (1991). Toward Utility in Reviews of Multivocal Literatures. Review of Educational Research, 61(3): 287-292.</w:t>
      </w:r>
    </w:p>
    <w:p w14:paraId="0AB1AC1F" w14:textId="77777777" w:rsidR="00107062" w:rsidRPr="00747414" w:rsidRDefault="00107062" w:rsidP="00107062">
      <w:pPr>
        <w:rPr>
          <w:rFonts w:ascii="Garamond" w:hAnsi="Garamond"/>
          <w:sz w:val="24"/>
          <w:szCs w:val="24"/>
        </w:rPr>
      </w:pPr>
      <w:r w:rsidRPr="00747414">
        <w:rPr>
          <w:rFonts w:ascii="Garamond" w:hAnsi="Garamond"/>
          <w:sz w:val="24"/>
          <w:szCs w:val="24"/>
        </w:rPr>
        <w:t>Patton, M.Q. (1997). Utilization-Focused Evaluation: The New Century Text. Thousands Oaks, CA: Sage Publication, Inc.</w:t>
      </w:r>
    </w:p>
    <w:p w14:paraId="5D24D26A" w14:textId="77777777" w:rsidR="00107062" w:rsidRPr="00747414" w:rsidRDefault="00107062" w:rsidP="00107062">
      <w:pPr>
        <w:rPr>
          <w:rFonts w:ascii="Garamond" w:hAnsi="Garamond"/>
          <w:sz w:val="24"/>
          <w:szCs w:val="24"/>
        </w:rPr>
      </w:pPr>
      <w:r w:rsidRPr="00747414">
        <w:rPr>
          <w:rFonts w:ascii="Garamond" w:hAnsi="Garamond"/>
          <w:sz w:val="24"/>
          <w:szCs w:val="24"/>
        </w:rPr>
        <w:t>Stake, R. (1967). The Countenance of Educational Evaluation. Teachers College Record, 68: 523-540.</w:t>
      </w:r>
    </w:p>
    <w:p w14:paraId="68A90C57" w14:textId="77777777" w:rsidR="00107062" w:rsidRPr="00747414" w:rsidRDefault="00107062" w:rsidP="00107062">
      <w:pPr>
        <w:rPr>
          <w:rFonts w:ascii="Garamond" w:hAnsi="Garamond"/>
          <w:sz w:val="24"/>
          <w:szCs w:val="24"/>
        </w:rPr>
      </w:pPr>
      <w:r w:rsidRPr="00747414">
        <w:rPr>
          <w:rFonts w:ascii="Garamond" w:hAnsi="Garamond"/>
          <w:sz w:val="24"/>
          <w:szCs w:val="24"/>
        </w:rPr>
        <w:t>Stake, R. (1980). Program Evaluation, Particularly Responsive Evaluation. In Rethinking Educational Research, edited by W.B. Dockrell and D. Hamilton. London: Hodder &amp; Stoughton.</w:t>
      </w:r>
    </w:p>
    <w:p w14:paraId="384B4BA9" w14:textId="77777777" w:rsidR="00107062" w:rsidRPr="00747414" w:rsidRDefault="00107062" w:rsidP="00107062">
      <w:pPr>
        <w:rPr>
          <w:rFonts w:ascii="Garamond" w:hAnsi="Garamond"/>
          <w:sz w:val="24"/>
          <w:szCs w:val="24"/>
        </w:rPr>
      </w:pPr>
      <w:r w:rsidRPr="00747414">
        <w:rPr>
          <w:rFonts w:ascii="Garamond" w:hAnsi="Garamond"/>
          <w:sz w:val="24"/>
          <w:szCs w:val="24"/>
        </w:rPr>
        <w:t>Stevens, F.I. (2000). Reflections and Interviews: Information Collected about Training Minority Evaluators of Math and Science Projects. In The Cultural Context of Educational Evaluation: The Role of Minority Evaluation Professionals, NSF 01-43. Arlington, VA: National Science Foundation, Directorate for Education and Human Resources.</w:t>
      </w:r>
    </w:p>
    <w:p w14:paraId="3BA25502" w14:textId="77777777" w:rsidR="00107062" w:rsidRPr="00747414" w:rsidRDefault="00107062" w:rsidP="00107062">
      <w:pPr>
        <w:rPr>
          <w:rFonts w:ascii="Garamond" w:hAnsi="Garamond"/>
          <w:sz w:val="24"/>
          <w:szCs w:val="24"/>
        </w:rPr>
      </w:pPr>
      <w:r w:rsidRPr="00747414">
        <w:rPr>
          <w:rFonts w:ascii="Garamond" w:hAnsi="Garamond"/>
          <w:sz w:val="24"/>
          <w:szCs w:val="24"/>
        </w:rPr>
        <w:t>Thomas, V.G. (2001). Understanding and Framing Talent Development School Reform Evaluation Efforts. Talent Development School Reform Evaluation Guide. Washington, DC: Howard University. Center for Research on the Education of Students Placed at Risk (CRESPAR). Unpublished report.</w:t>
      </w:r>
    </w:p>
    <w:p w14:paraId="5DA3F38F" w14:textId="77777777" w:rsidR="00107062" w:rsidRPr="00747414" w:rsidRDefault="00107062" w:rsidP="00107062">
      <w:pPr>
        <w:rPr>
          <w:rFonts w:ascii="Garamond" w:hAnsi="Garamond" w:cs="Arial"/>
          <w:sz w:val="24"/>
          <w:szCs w:val="24"/>
        </w:rPr>
      </w:pPr>
      <w:r w:rsidRPr="00747414">
        <w:rPr>
          <w:rFonts w:ascii="Garamond" w:hAnsi="Garamond"/>
          <w:sz w:val="24"/>
          <w:szCs w:val="24"/>
        </w:rPr>
        <w:t>Worthen, B.R., Sanders, J.R., and Fitzpatrick. (1997). Educational Evaluation, Second Ed. White Plains, NY: Longman, Inc.</w:t>
      </w:r>
    </w:p>
    <w:sectPr w:rsidR="00107062" w:rsidRPr="00747414" w:rsidSect="00747414">
      <w:headerReference w:type="default" r:id="rId9"/>
      <w:pgSz w:w="12240" w:h="15840"/>
      <w:pgMar w:top="360" w:right="1152" w:bottom="144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38A8A" w14:textId="77777777" w:rsidR="008D611F" w:rsidRDefault="008D611F" w:rsidP="00747414">
      <w:pPr>
        <w:spacing w:after="0" w:line="240" w:lineRule="auto"/>
      </w:pPr>
      <w:r>
        <w:separator/>
      </w:r>
    </w:p>
  </w:endnote>
  <w:endnote w:type="continuationSeparator" w:id="0">
    <w:p w14:paraId="3AB5F0C6" w14:textId="77777777" w:rsidR="008D611F" w:rsidRDefault="008D611F" w:rsidP="00747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917ED" w14:textId="77777777" w:rsidR="008D611F" w:rsidRDefault="008D611F" w:rsidP="00747414">
      <w:pPr>
        <w:spacing w:after="0" w:line="240" w:lineRule="auto"/>
      </w:pPr>
      <w:r>
        <w:separator/>
      </w:r>
    </w:p>
  </w:footnote>
  <w:footnote w:type="continuationSeparator" w:id="0">
    <w:p w14:paraId="46A15538" w14:textId="77777777" w:rsidR="008D611F" w:rsidRDefault="008D611F" w:rsidP="00747414">
      <w:pPr>
        <w:spacing w:after="0" w:line="240" w:lineRule="auto"/>
      </w:pPr>
      <w:r>
        <w:continuationSeparator/>
      </w:r>
    </w:p>
  </w:footnote>
  <w:footnote w:id="1">
    <w:p w14:paraId="7B9E503D" w14:textId="7DE2C4AD" w:rsidR="00326A97" w:rsidRPr="00815E7B" w:rsidRDefault="00326A97">
      <w:pPr>
        <w:pStyle w:val="FootnoteText"/>
        <w:rPr>
          <w:rFonts w:ascii="Garamond" w:hAnsi="Garamond"/>
          <w:sz w:val="22"/>
          <w:szCs w:val="22"/>
        </w:rPr>
      </w:pPr>
      <w:r w:rsidRPr="00815E7B">
        <w:rPr>
          <w:rStyle w:val="FootnoteReference"/>
          <w:rFonts w:ascii="Garamond" w:hAnsi="Garamond"/>
          <w:sz w:val="22"/>
          <w:szCs w:val="22"/>
        </w:rPr>
        <w:footnoteRef/>
      </w:r>
      <w:r w:rsidRPr="00815E7B">
        <w:rPr>
          <w:rFonts w:ascii="Garamond" w:hAnsi="Garamond"/>
          <w:sz w:val="22"/>
          <w:szCs w:val="22"/>
        </w:rPr>
        <w:t xml:space="preserve"> </w:t>
      </w:r>
      <w:hyperlink r:id="rId1" w:history="1">
        <w:r w:rsidRPr="00815E7B">
          <w:rPr>
            <w:rStyle w:val="Hyperlink"/>
            <w:rFonts w:ascii="Garamond" w:hAnsi="Garamond" w:cs="Arial"/>
            <w:sz w:val="22"/>
            <w:szCs w:val="22"/>
            <w:shd w:val="clear" w:color="auto" w:fill="FFFFFF"/>
          </w:rPr>
          <w:t>http://specialed.esc1.net/Page/22</w:t>
        </w:r>
      </w:hyperlink>
    </w:p>
  </w:footnote>
  <w:footnote w:id="2">
    <w:p w14:paraId="31D07F0C" w14:textId="61B97868" w:rsidR="00815E7B" w:rsidRPr="00815E7B" w:rsidRDefault="00326A97" w:rsidP="00FB3F76">
      <w:pPr>
        <w:pStyle w:val="FootnoteText"/>
        <w:rPr>
          <w:rFonts w:ascii="Garamond" w:hAnsi="Garamond" w:cs="Arial"/>
          <w:sz w:val="22"/>
          <w:szCs w:val="22"/>
        </w:rPr>
      </w:pPr>
      <w:r w:rsidRPr="00815E7B">
        <w:rPr>
          <w:rStyle w:val="FootnoteReference"/>
          <w:rFonts w:ascii="Garamond" w:hAnsi="Garamond"/>
          <w:sz w:val="22"/>
          <w:szCs w:val="22"/>
        </w:rPr>
        <w:footnoteRef/>
      </w:r>
      <w:r w:rsidRPr="00815E7B">
        <w:rPr>
          <w:rFonts w:ascii="Garamond" w:hAnsi="Garamond"/>
          <w:sz w:val="22"/>
          <w:szCs w:val="22"/>
        </w:rPr>
        <w:t xml:space="preserve"> </w:t>
      </w:r>
      <w:r w:rsidR="00815E7B" w:rsidRPr="00815E7B">
        <w:rPr>
          <w:rFonts w:ascii="Garamond" w:hAnsi="Garamond" w:cs="Arial"/>
          <w:sz w:val="22"/>
          <w:szCs w:val="22"/>
        </w:rPr>
        <w:t>Frierson,</w:t>
      </w:r>
      <w:r w:rsidR="00FB3F76">
        <w:rPr>
          <w:rFonts w:ascii="Garamond" w:hAnsi="Garamond" w:cs="Arial"/>
          <w:sz w:val="22"/>
          <w:szCs w:val="22"/>
        </w:rPr>
        <w:t xml:space="preserve"> et al (2002)</w:t>
      </w:r>
    </w:p>
    <w:p w14:paraId="1E536742" w14:textId="26695437" w:rsidR="00326A97" w:rsidRDefault="00326A97" w:rsidP="00815E7B">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37E8D" w14:textId="68F9DC86" w:rsidR="00747414" w:rsidRPr="00747414" w:rsidRDefault="00747414">
    <w:pPr>
      <w:pStyle w:val="Header"/>
      <w:rPr>
        <w:rFonts w:ascii="Garamond" w:hAnsi="Garamond"/>
      </w:rPr>
    </w:pPr>
    <w:r w:rsidRPr="00107062">
      <w:rPr>
        <w:rFonts w:ascii="Arial" w:hAnsi="Arial" w:cs="Arial"/>
        <w:b/>
        <w:bCs/>
        <w:noProof/>
        <w:color w:val="222222"/>
        <w:shd w:val="clear" w:color="auto" w:fill="FFFFFF"/>
      </w:rPr>
      <w:drawing>
        <wp:anchor distT="0" distB="0" distL="114300" distR="114300" simplePos="0" relativeHeight="251658240" behindDoc="0" locked="0" layoutInCell="1" allowOverlap="1" wp14:anchorId="26F793FF" wp14:editId="6C5F62C4">
          <wp:simplePos x="0" y="0"/>
          <wp:positionH relativeFrom="column">
            <wp:posOffset>-6350</wp:posOffset>
          </wp:positionH>
          <wp:positionV relativeFrom="paragraph">
            <wp:posOffset>-199390</wp:posOffset>
          </wp:positionV>
          <wp:extent cx="887095" cy="8870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AL-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7095" cy="887095"/>
                  </a:xfrm>
                  <a:prstGeom prst="rect">
                    <a:avLst/>
                  </a:prstGeom>
                </pic:spPr>
              </pic:pic>
            </a:graphicData>
          </a:graphic>
          <wp14:sizeRelH relativeFrom="page">
            <wp14:pctWidth>0</wp14:pctWidth>
          </wp14:sizeRelH>
          <wp14:sizeRelV relativeFrom="page">
            <wp14:pctHeight>0</wp14:pctHeight>
          </wp14:sizeRelV>
        </wp:anchor>
      </w:drawing>
    </w:r>
    <w:r>
      <w:rPr>
        <w:rFonts w:ascii="Garamond" w:hAnsi="Garamond"/>
      </w:rPr>
      <w:t>Center for Teaching and Assessment of Learning,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7B71A0"/>
    <w:multiLevelType w:val="hybridMultilevel"/>
    <w:tmpl w:val="C6E4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F54"/>
    <w:rsid w:val="00057AC3"/>
    <w:rsid w:val="000D4854"/>
    <w:rsid w:val="00107062"/>
    <w:rsid w:val="00326A97"/>
    <w:rsid w:val="00380D3B"/>
    <w:rsid w:val="003C1F36"/>
    <w:rsid w:val="00747414"/>
    <w:rsid w:val="00815E7B"/>
    <w:rsid w:val="008D611F"/>
    <w:rsid w:val="00A71B5E"/>
    <w:rsid w:val="00B32985"/>
    <w:rsid w:val="00E84F54"/>
    <w:rsid w:val="00FB3F76"/>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EF35E"/>
  <w15:chartTrackingRefBased/>
  <w15:docId w15:val="{4D80B5F9-C3BD-48A7-B5B4-EFE84D6A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0D3B"/>
  </w:style>
  <w:style w:type="character" w:styleId="Hyperlink">
    <w:name w:val="Hyperlink"/>
    <w:basedOn w:val="DefaultParagraphFont"/>
    <w:uiPriority w:val="99"/>
    <w:unhideWhenUsed/>
    <w:rsid w:val="00380D3B"/>
    <w:rPr>
      <w:color w:val="0563C1" w:themeColor="hyperlink"/>
      <w:u w:val="single"/>
    </w:rPr>
  </w:style>
  <w:style w:type="paragraph" w:styleId="ListParagraph">
    <w:name w:val="List Paragraph"/>
    <w:basedOn w:val="Normal"/>
    <w:uiPriority w:val="34"/>
    <w:qFormat/>
    <w:rsid w:val="00107062"/>
    <w:pPr>
      <w:ind w:left="720"/>
      <w:contextualSpacing/>
    </w:pPr>
  </w:style>
  <w:style w:type="paragraph" w:styleId="Header">
    <w:name w:val="header"/>
    <w:basedOn w:val="Normal"/>
    <w:link w:val="HeaderChar"/>
    <w:uiPriority w:val="99"/>
    <w:unhideWhenUsed/>
    <w:rsid w:val="007474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414"/>
  </w:style>
  <w:style w:type="paragraph" w:styleId="Footer">
    <w:name w:val="footer"/>
    <w:basedOn w:val="Normal"/>
    <w:link w:val="FooterChar"/>
    <w:uiPriority w:val="99"/>
    <w:unhideWhenUsed/>
    <w:rsid w:val="007474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414"/>
  </w:style>
  <w:style w:type="paragraph" w:styleId="FootnoteText">
    <w:name w:val="footnote text"/>
    <w:basedOn w:val="Normal"/>
    <w:link w:val="FootnoteTextChar"/>
    <w:uiPriority w:val="99"/>
    <w:unhideWhenUsed/>
    <w:rsid w:val="00326A97"/>
    <w:pPr>
      <w:spacing w:after="0" w:line="240" w:lineRule="auto"/>
    </w:pPr>
    <w:rPr>
      <w:sz w:val="24"/>
      <w:szCs w:val="24"/>
    </w:rPr>
  </w:style>
  <w:style w:type="character" w:customStyle="1" w:styleId="FootnoteTextChar">
    <w:name w:val="Footnote Text Char"/>
    <w:basedOn w:val="DefaultParagraphFont"/>
    <w:link w:val="FootnoteText"/>
    <w:uiPriority w:val="99"/>
    <w:rsid w:val="00326A97"/>
    <w:rPr>
      <w:sz w:val="24"/>
      <w:szCs w:val="24"/>
    </w:rPr>
  </w:style>
  <w:style w:type="character" w:styleId="FootnoteReference">
    <w:name w:val="footnote reference"/>
    <w:basedOn w:val="DefaultParagraphFont"/>
    <w:uiPriority w:val="99"/>
    <w:unhideWhenUsed/>
    <w:rsid w:val="00326A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1595">
      <w:bodyDiv w:val="1"/>
      <w:marLeft w:val="0"/>
      <w:marRight w:val="0"/>
      <w:marTop w:val="0"/>
      <w:marBottom w:val="0"/>
      <w:divBdr>
        <w:top w:val="none" w:sz="0" w:space="0" w:color="auto"/>
        <w:left w:val="none" w:sz="0" w:space="0" w:color="auto"/>
        <w:bottom w:val="none" w:sz="0" w:space="0" w:color="auto"/>
        <w:right w:val="none" w:sz="0" w:space="0" w:color="auto"/>
      </w:divBdr>
    </w:div>
    <w:div w:id="178680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CREA.education.illinois.edu" TargetMode="External"/><Relationship Id="rId8" Type="http://schemas.openxmlformats.org/officeDocument/2006/relationships/hyperlink" Target="https://www.nsf.gov/pubs/2002/nsf02057/nsf02057_5.pdf"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pecialed.esc1.net/Page/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728</Words>
  <Characters>4154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dc:creator>
  <cp:keywords/>
  <dc:description/>
  <cp:lastModifiedBy>Rose Evelyn Muravchick</cp:lastModifiedBy>
  <cp:revision>7</cp:revision>
  <dcterms:created xsi:type="dcterms:W3CDTF">2016-12-01T21:05:00Z</dcterms:created>
  <dcterms:modified xsi:type="dcterms:W3CDTF">2016-12-01T21:16:00Z</dcterms:modified>
</cp:coreProperties>
</file>